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D1D90">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Autospacing="0" w:line="560" w:lineRule="exact"/>
        <w:ind w:left="0" w:leftChars="0" w:right="0" w:firstLine="960" w:firstLineChars="200"/>
        <w:jc w:val="center"/>
        <w:textAlignment w:val="baseline"/>
        <w:outlineLvl w:val="9"/>
        <w:rPr>
          <w:rFonts w:hint="eastAsia" w:eastAsia="方正小标宋简体" w:cs="Times New Roman"/>
          <w:snapToGrid w:val="0"/>
          <w:color w:val="000000"/>
          <w:kern w:val="0"/>
          <w:sz w:val="48"/>
          <w:szCs w:val="48"/>
          <w:lang w:val="en-US" w:eastAsia="zh-CN" w:bidi="ar"/>
        </w:rPr>
      </w:pPr>
      <w:bookmarkStart w:id="0" w:name="_Toc18978"/>
      <w:bookmarkStart w:id="1" w:name="_Toc14839"/>
      <w:bookmarkStart w:id="2" w:name="_Toc23505"/>
      <w:bookmarkStart w:id="3" w:name="_Toc22112"/>
      <w:bookmarkStart w:id="4" w:name="_Toc13514"/>
      <w:bookmarkStart w:id="5" w:name="_Toc1649"/>
    </w:p>
    <w:p w14:paraId="4ABE3AE2">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Autospacing="0" w:line="560" w:lineRule="exact"/>
        <w:ind w:right="0"/>
        <w:jc w:val="both"/>
        <w:textAlignment w:val="baseline"/>
        <w:outlineLvl w:val="9"/>
        <w:rPr>
          <w:rFonts w:hint="eastAsia" w:eastAsia="方正小标宋简体" w:cs="Times New Roman"/>
          <w:snapToGrid w:val="0"/>
          <w:color w:val="000000"/>
          <w:kern w:val="0"/>
          <w:sz w:val="48"/>
          <w:szCs w:val="48"/>
          <w:lang w:val="en-US" w:eastAsia="zh-CN" w:bidi="ar"/>
        </w:rPr>
      </w:pPr>
    </w:p>
    <w:p w14:paraId="10B57A00">
      <w:pPr>
        <w:keepNext w:val="0"/>
        <w:keepLines w:val="0"/>
        <w:pageBreakBefore w:val="0"/>
        <w:widowControl w:val="0"/>
        <w:shd w:val="clear" w:color="auto" w:fill="auto"/>
        <w:kinsoku/>
        <w:wordWrap/>
        <w:overflowPunct w:val="0"/>
        <w:topLinePunct w:val="0"/>
        <w:autoSpaceDE/>
        <w:autoSpaceDN/>
        <w:bidi w:val="0"/>
        <w:adjustRightInd/>
        <w:snapToGrid w:val="0"/>
        <w:spacing w:line="240" w:lineRule="auto"/>
        <w:ind w:left="0" w:leftChars="0" w:firstLine="0" w:firstLineChars="0"/>
        <w:jc w:val="center"/>
        <w:textAlignment w:val="auto"/>
        <w:rPr>
          <w:rFonts w:hint="eastAsia" w:ascii="方正小标宋简体" w:hAnsi="方正小标宋简体" w:eastAsia="方正小标宋简体" w:cs="方正小标宋简体"/>
          <w:spacing w:val="-11"/>
          <w:sz w:val="72"/>
          <w:szCs w:val="72"/>
          <w:highlight w:val="none"/>
          <w:lang w:val="en-US" w:eastAsia="zh-CN" w:bidi="ar"/>
        </w:rPr>
      </w:pPr>
      <w:bookmarkStart w:id="6" w:name="_Toc8788"/>
      <w:bookmarkStart w:id="7" w:name="_Toc24214"/>
      <w:bookmarkStart w:id="8" w:name="_Toc26384"/>
      <w:bookmarkStart w:id="9" w:name="_Toc12106"/>
      <w:r>
        <w:rPr>
          <w:rFonts w:hint="eastAsia" w:ascii="方正小标宋简体" w:hAnsi="方正小标宋简体" w:eastAsia="方正小标宋简体" w:cs="方正小标宋简体"/>
          <w:spacing w:val="-11"/>
          <w:sz w:val="72"/>
          <w:szCs w:val="72"/>
          <w:highlight w:val="none"/>
          <w:lang w:val="en-US" w:eastAsia="zh-CN" w:bidi="ar"/>
        </w:rPr>
        <w:t>澧县</w:t>
      </w:r>
      <w:bookmarkEnd w:id="0"/>
      <w:bookmarkEnd w:id="1"/>
      <w:bookmarkEnd w:id="2"/>
      <w:bookmarkEnd w:id="3"/>
      <w:bookmarkEnd w:id="4"/>
      <w:bookmarkEnd w:id="5"/>
      <w:r>
        <w:rPr>
          <w:rFonts w:hint="eastAsia" w:ascii="方正小标宋简体" w:hAnsi="方正小标宋简体" w:eastAsia="方正小标宋简体" w:cs="方正小标宋简体"/>
          <w:spacing w:val="-11"/>
          <w:sz w:val="72"/>
          <w:szCs w:val="72"/>
          <w:highlight w:val="none"/>
          <w:lang w:val="en-US" w:eastAsia="zh-CN" w:bidi="ar"/>
        </w:rPr>
        <w:t>危险化学品和烟花</w:t>
      </w:r>
    </w:p>
    <w:p w14:paraId="5735158A">
      <w:pPr>
        <w:keepNext w:val="0"/>
        <w:keepLines w:val="0"/>
        <w:pageBreakBefore w:val="0"/>
        <w:widowControl w:val="0"/>
        <w:shd w:val="clear" w:color="auto" w:fill="auto"/>
        <w:kinsoku/>
        <w:wordWrap/>
        <w:overflowPunct w:val="0"/>
        <w:topLinePunct w:val="0"/>
        <w:autoSpaceDE/>
        <w:autoSpaceDN/>
        <w:bidi w:val="0"/>
        <w:adjustRightInd/>
        <w:snapToGrid w:val="0"/>
        <w:spacing w:line="240" w:lineRule="auto"/>
        <w:ind w:left="0" w:leftChars="0" w:firstLine="0" w:firstLineChars="0"/>
        <w:jc w:val="center"/>
        <w:textAlignment w:val="auto"/>
        <w:rPr>
          <w:rFonts w:hint="eastAsia" w:ascii="方正小标宋简体" w:hAnsi="方正小标宋简体" w:eastAsia="方正小标宋简体" w:cs="方正小标宋简体"/>
          <w:spacing w:val="-11"/>
          <w:sz w:val="72"/>
          <w:szCs w:val="72"/>
          <w:highlight w:val="none"/>
          <w:lang w:val="en-US" w:eastAsia="zh-CN" w:bidi="ar"/>
        </w:rPr>
      </w:pPr>
      <w:r>
        <w:rPr>
          <w:rFonts w:hint="eastAsia" w:ascii="方正小标宋简体" w:hAnsi="方正小标宋简体" w:eastAsia="方正小标宋简体" w:cs="方正小标宋简体"/>
          <w:spacing w:val="-11"/>
          <w:sz w:val="72"/>
          <w:szCs w:val="72"/>
          <w:highlight w:val="none"/>
          <w:lang w:val="en-US" w:eastAsia="zh-CN" w:bidi="ar"/>
        </w:rPr>
        <w:t>爆竹生产安全事故</w:t>
      </w:r>
    </w:p>
    <w:p w14:paraId="04971BC6">
      <w:pPr>
        <w:keepNext w:val="0"/>
        <w:keepLines w:val="0"/>
        <w:pageBreakBefore w:val="0"/>
        <w:widowControl w:val="0"/>
        <w:shd w:val="clear" w:color="auto" w:fill="auto"/>
        <w:kinsoku/>
        <w:wordWrap/>
        <w:overflowPunct w:val="0"/>
        <w:topLinePunct w:val="0"/>
        <w:autoSpaceDE/>
        <w:autoSpaceDN/>
        <w:bidi w:val="0"/>
        <w:adjustRightInd/>
        <w:snapToGrid w:val="0"/>
        <w:spacing w:line="240" w:lineRule="auto"/>
        <w:ind w:left="0" w:leftChars="0" w:firstLine="0" w:firstLineChars="0"/>
        <w:jc w:val="center"/>
        <w:textAlignment w:val="auto"/>
        <w:rPr>
          <w:rFonts w:hint="eastAsia" w:ascii="方正小标宋简体" w:hAnsi="方正小标宋简体" w:eastAsia="方正小标宋简体" w:cs="方正小标宋简体"/>
          <w:spacing w:val="-11"/>
          <w:sz w:val="72"/>
          <w:szCs w:val="72"/>
          <w:highlight w:val="none"/>
          <w:lang w:val="en-US" w:eastAsia="zh-CN" w:bidi="ar"/>
        </w:rPr>
      </w:pPr>
      <w:r>
        <w:rPr>
          <w:rFonts w:hint="eastAsia" w:ascii="方正小标宋简体" w:hAnsi="方正小标宋简体" w:eastAsia="方正小标宋简体" w:cs="方正小标宋简体"/>
          <w:spacing w:val="-11"/>
          <w:sz w:val="72"/>
          <w:szCs w:val="72"/>
          <w:highlight w:val="none"/>
          <w:lang w:val="en-US" w:eastAsia="zh-CN" w:bidi="ar"/>
        </w:rPr>
        <w:t>应急预案</w:t>
      </w:r>
      <w:bookmarkEnd w:id="6"/>
      <w:bookmarkEnd w:id="7"/>
      <w:bookmarkEnd w:id="8"/>
      <w:bookmarkEnd w:id="9"/>
    </w:p>
    <w:p w14:paraId="0C5DB760">
      <w:pPr>
        <w:keepNext w:val="0"/>
        <w:keepLines w:val="0"/>
        <w:pageBreakBefore w:val="0"/>
        <w:widowControl/>
        <w:suppressLineNumbers w:val="0"/>
        <w:kinsoku w:val="0"/>
        <w:wordWrap/>
        <w:overflowPunct/>
        <w:topLinePunct/>
        <w:autoSpaceDE w:val="0"/>
        <w:autoSpaceDN w:val="0"/>
        <w:bidi w:val="0"/>
        <w:adjustRightInd w:val="0"/>
        <w:snapToGrid w:val="0"/>
        <w:spacing w:beforeAutospacing="0" w:after="0" w:afterAutospacing="0" w:line="560" w:lineRule="exact"/>
        <w:ind w:right="0"/>
        <w:jc w:val="center"/>
        <w:textAlignment w:val="baseline"/>
        <w:rPr>
          <w:rFonts w:hint="eastAsia" w:ascii="楷体" w:hAnsi="楷体" w:eastAsia="楷体" w:cs="楷体"/>
          <w:color w:val="auto"/>
          <w:kern w:val="0"/>
          <w:sz w:val="32"/>
          <w:szCs w:val="32"/>
          <w:lang w:eastAsia="zh-CN"/>
        </w:rPr>
      </w:pP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征求意见稿</w:t>
      </w:r>
      <w:r>
        <w:rPr>
          <w:rFonts w:hint="eastAsia" w:ascii="楷体" w:hAnsi="楷体" w:eastAsia="楷体" w:cs="楷体"/>
          <w:color w:val="auto"/>
          <w:kern w:val="0"/>
          <w:sz w:val="32"/>
          <w:szCs w:val="32"/>
          <w:lang w:eastAsia="zh-CN"/>
        </w:rPr>
        <w:t>）</w:t>
      </w:r>
    </w:p>
    <w:p w14:paraId="08F5310D">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Autospacing="0" w:line="560" w:lineRule="exact"/>
        <w:ind w:right="0"/>
        <w:jc w:val="center"/>
        <w:textAlignment w:val="baseline"/>
        <w:outlineLvl w:val="9"/>
        <w:rPr>
          <w:rFonts w:hint="default" w:ascii="Times New Roman" w:hAnsi="Times New Roman" w:eastAsia="方正小标宋简体" w:cs="Times New Roman"/>
          <w:color w:val="FF0000"/>
          <w:kern w:val="0"/>
          <w:sz w:val="48"/>
          <w:szCs w:val="48"/>
        </w:rPr>
      </w:pPr>
    </w:p>
    <w:p w14:paraId="4992AEEC">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42EB734E">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734E5A4B">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1A0995ED">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02BACFFC">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32845EAE">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67BF4B36">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1BB959A7">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36AA20F1">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414DBCFB">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22AE9EB4">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5E3898FD">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31DDB65C">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pPr>
      <w:r>
        <w:rPr>
          <w:rFonts w:hint="eastAsia" w:ascii="楷体" w:hAnsi="楷体" w:eastAsia="楷体" w:cs="楷体"/>
          <w:spacing w:val="-11"/>
          <w:sz w:val="32"/>
          <w:szCs w:val="32"/>
          <w:highlight w:val="none"/>
          <w:lang w:val="en-US" w:eastAsia="zh-CN" w:bidi="ar"/>
        </w:rPr>
        <w:t>澧县人民政府办公室</w:t>
      </w:r>
    </w:p>
    <w:p w14:paraId="436B939E">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sectPr>
          <w:headerReference r:id="rId6" w:type="first"/>
          <w:footerReference r:id="rId9" w:type="first"/>
          <w:headerReference r:id="rId5" w:type="default"/>
          <w:footerReference r:id="rId7" w:type="default"/>
          <w:footerReference r:id="rId8" w:type="even"/>
          <w:pgSz w:w="11905" w:h="16838"/>
          <w:pgMar w:top="1440" w:right="1803" w:bottom="1440" w:left="1803" w:header="851" w:footer="992" w:gutter="0"/>
          <w:pgNumType w:fmt="decimal"/>
          <w:cols w:space="720" w:num="1"/>
          <w:rtlGutter w:val="0"/>
          <w:docGrid w:type="lines" w:linePitch="411" w:charSpace="0"/>
        </w:sectPr>
      </w:pPr>
      <w:r>
        <w:rPr>
          <w:rFonts w:hint="eastAsia" w:ascii="楷体" w:hAnsi="楷体" w:eastAsia="楷体" w:cs="楷体"/>
          <w:spacing w:val="-11"/>
          <w:sz w:val="32"/>
          <w:szCs w:val="32"/>
          <w:highlight w:val="none"/>
          <w:lang w:val="en-US" w:eastAsia="zh-CN" w:bidi="ar"/>
        </w:rPr>
        <w:t>2026年5月</w:t>
      </w:r>
    </w:p>
    <w:sdt>
      <w:sdtPr>
        <w:rPr>
          <w:rFonts w:ascii="宋体" w:hAnsi="宋体" w:eastAsia="宋体" w:cs="Arial"/>
          <w:snapToGrid w:val="0"/>
          <w:color w:val="000000"/>
          <w:kern w:val="0"/>
          <w:sz w:val="28"/>
          <w:szCs w:val="28"/>
          <w:lang w:val="en-US" w:eastAsia="en-US" w:bidi="ar-SA"/>
        </w:rPr>
        <w:id w:val="147461123"/>
        <w15:color w:val="DBDBDB"/>
        <w:docPartObj>
          <w:docPartGallery w:val="Table of Contents"/>
          <w:docPartUnique/>
        </w:docPartObj>
      </w:sdtPr>
      <w:sdtEndPr>
        <w:rPr>
          <w:rFonts w:hint="eastAsia" w:ascii="方正小标宋简体" w:hAnsi="方正小标宋简体" w:eastAsia="方正小标宋简体" w:cs="方正小标宋简体"/>
          <w:snapToGrid/>
          <w:color w:val="000000"/>
          <w:kern w:val="2"/>
          <w:sz w:val="21"/>
          <w:szCs w:val="36"/>
          <w:lang w:val="en-US" w:eastAsia="zh-CN" w:bidi="ar-SA"/>
        </w:rPr>
      </w:sdtEndPr>
      <w:sdtContent>
        <w:p w14:paraId="22150F7A">
          <w:pPr>
            <w:keepNext w:val="0"/>
            <w:keepLines w:val="0"/>
            <w:pageBreakBefore w:val="0"/>
            <w:widowControl w:val="0"/>
            <w:kinsoku/>
            <w:wordWrap/>
            <w:overflowPunct/>
            <w:topLinePunct w:val="0"/>
            <w:autoSpaceDE/>
            <w:autoSpaceDN/>
            <w:bidi w:val="0"/>
            <w:adjustRightInd w:val="0"/>
            <w:snapToGrid w:val="0"/>
            <w:spacing w:before="0" w:beforeLines="0" w:after="0" w:afterLines="0" w:line="240" w:lineRule="auto"/>
            <w:ind w:left="0" w:leftChars="0" w:right="0" w:rightChars="0" w:firstLine="560" w:firstLineChars="200"/>
            <w:jc w:val="center"/>
            <w:textAlignment w:val="auto"/>
            <w:rPr>
              <w:rFonts w:hint="eastAsia" w:ascii="方正小标宋简体" w:hAnsi="方正小标宋简体" w:eastAsia="方正小标宋简体" w:cs="方正小标宋简体"/>
              <w:snapToGrid/>
              <w:color w:val="000000"/>
              <w:kern w:val="2"/>
              <w:sz w:val="32"/>
              <w:szCs w:val="52"/>
              <w:lang w:val="en-US" w:eastAsia="zh-CN" w:bidi="ar-SA"/>
            </w:rPr>
          </w:pPr>
          <w:r>
            <w:rPr>
              <w:rFonts w:hint="eastAsia" w:ascii="方正小标宋简体" w:hAnsi="方正小标宋简体" w:eastAsia="方正小标宋简体" w:cs="方正小标宋简体"/>
              <w:snapToGrid/>
              <w:kern w:val="2"/>
              <w:sz w:val="48"/>
              <w:szCs w:val="48"/>
              <w:lang w:eastAsia="zh-CN"/>
            </w:rPr>
            <w:t>目</w:t>
          </w:r>
          <w:r>
            <w:rPr>
              <w:rFonts w:hint="eastAsia" w:ascii="方正小标宋简体" w:hAnsi="方正小标宋简体" w:eastAsia="方正小标宋简体" w:cs="方正小标宋简体"/>
              <w:snapToGrid/>
              <w:kern w:val="2"/>
              <w:sz w:val="48"/>
              <w:szCs w:val="48"/>
              <w:lang w:val="en-US" w:eastAsia="zh-CN"/>
            </w:rPr>
            <w:t xml:space="preserve">  </w:t>
          </w:r>
          <w:r>
            <w:rPr>
              <w:rFonts w:hint="eastAsia" w:ascii="方正小标宋简体" w:hAnsi="方正小标宋简体" w:eastAsia="方正小标宋简体" w:cs="方正小标宋简体"/>
              <w:snapToGrid/>
              <w:kern w:val="2"/>
              <w:sz w:val="48"/>
              <w:szCs w:val="48"/>
              <w:lang w:eastAsia="zh-CN"/>
            </w:rPr>
            <w:t>录</w:t>
          </w:r>
          <w:r>
            <w:rPr>
              <w:rFonts w:hint="eastAsia" w:ascii="方正小标宋简体" w:hAnsi="方正小标宋简体" w:eastAsia="方正小标宋简体" w:cs="方正小标宋简体"/>
              <w:snapToGrid/>
              <w:kern w:val="2"/>
              <w:sz w:val="52"/>
              <w:szCs w:val="52"/>
              <w:lang w:eastAsia="zh-CN"/>
            </w:rPr>
            <w:fldChar w:fldCharType="begin"/>
          </w:r>
          <w:r>
            <w:rPr>
              <w:rFonts w:hint="eastAsia" w:ascii="方正小标宋简体" w:hAnsi="方正小标宋简体" w:eastAsia="方正小标宋简体" w:cs="方正小标宋简体"/>
              <w:snapToGrid/>
              <w:kern w:val="2"/>
              <w:sz w:val="52"/>
              <w:szCs w:val="52"/>
              <w:lang w:eastAsia="zh-CN"/>
            </w:rPr>
            <w:instrText xml:space="preserve">TOC \o "1-2" \h \u </w:instrText>
          </w:r>
          <w:r>
            <w:rPr>
              <w:rFonts w:hint="eastAsia" w:ascii="方正小标宋简体" w:hAnsi="方正小标宋简体" w:eastAsia="方正小标宋简体" w:cs="方正小标宋简体"/>
              <w:snapToGrid/>
              <w:kern w:val="2"/>
              <w:sz w:val="52"/>
              <w:szCs w:val="52"/>
              <w:lang w:eastAsia="zh-CN"/>
            </w:rPr>
            <w:fldChar w:fldCharType="separate"/>
          </w:r>
        </w:p>
        <w:p w14:paraId="6491B19E">
          <w:pPr>
            <w:pStyle w:val="10"/>
            <w:keepNext w:val="0"/>
            <w:keepLines w:val="0"/>
            <w:pageBreakBefore w:val="0"/>
            <w:tabs>
              <w:tab w:val="right" w:leader="dot" w:pos="8306"/>
            </w:tabs>
            <w:wordWrap/>
            <w:overflowPunct/>
            <w:topLinePunct w:val="0"/>
            <w:bidi w:val="0"/>
            <w:adjustRightInd w:val="0"/>
            <w:snapToGrid w:val="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_Toc30586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黑体" w:hAnsi="黑体" w:eastAsia="黑体" w:cs="黑体"/>
              <w:bCs w:val="0"/>
              <w:snapToGrid w:val="0"/>
              <w:kern w:val="0"/>
              <w:sz w:val="24"/>
              <w:szCs w:val="40"/>
              <w:lang w:val="en-US" w:eastAsia="en-US" w:bidi="ar-SA"/>
            </w:rPr>
            <w:t>1.</w:t>
          </w:r>
          <w:r>
            <w:rPr>
              <w:rFonts w:hint="eastAsia" w:ascii="黑体" w:hAnsi="黑体" w:eastAsia="黑体" w:cs="黑体"/>
              <w:bCs w:val="0"/>
              <w:spacing w:val="-8"/>
              <w:sz w:val="24"/>
              <w:szCs w:val="40"/>
            </w:rPr>
            <w:t>总则</w:t>
          </w:r>
          <w:r>
            <w:rPr>
              <w:sz w:val="24"/>
              <w:szCs w:val="24"/>
            </w:rPr>
            <w:tab/>
          </w:r>
          <w:r>
            <w:rPr>
              <w:sz w:val="24"/>
              <w:szCs w:val="24"/>
            </w:rPr>
            <w:fldChar w:fldCharType="begin"/>
          </w:r>
          <w:r>
            <w:rPr>
              <w:sz w:val="24"/>
              <w:szCs w:val="24"/>
            </w:rPr>
            <w:instrText xml:space="preserve"> PAGEREF _Toc30586 \h </w:instrText>
          </w:r>
          <w:r>
            <w:rPr>
              <w:sz w:val="24"/>
              <w:szCs w:val="24"/>
            </w:rPr>
            <w:fldChar w:fldCharType="separate"/>
          </w:r>
          <w:r>
            <w:rPr>
              <w:sz w:val="24"/>
              <w:szCs w:val="24"/>
            </w:rPr>
            <w:t>1</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180B41BF">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_Toc20194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1.1 编制目的</w:t>
          </w:r>
          <w:r>
            <w:rPr>
              <w:sz w:val="24"/>
              <w:szCs w:val="24"/>
            </w:rPr>
            <w:tab/>
          </w:r>
          <w:r>
            <w:rPr>
              <w:sz w:val="24"/>
              <w:szCs w:val="24"/>
            </w:rPr>
            <w:fldChar w:fldCharType="begin"/>
          </w:r>
          <w:r>
            <w:rPr>
              <w:sz w:val="24"/>
              <w:szCs w:val="24"/>
            </w:rPr>
            <w:instrText xml:space="preserve"> PAGEREF _Toc20194 \h </w:instrText>
          </w:r>
          <w:r>
            <w:rPr>
              <w:sz w:val="24"/>
              <w:szCs w:val="24"/>
            </w:rPr>
            <w:fldChar w:fldCharType="separate"/>
          </w:r>
          <w:r>
            <w:rPr>
              <w:sz w:val="24"/>
              <w:szCs w:val="24"/>
            </w:rPr>
            <w:t>1</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050F0141">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_Toc30343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1.2 编制依据</w:t>
          </w:r>
          <w:r>
            <w:rPr>
              <w:sz w:val="24"/>
              <w:szCs w:val="24"/>
            </w:rPr>
            <w:tab/>
          </w:r>
          <w:r>
            <w:rPr>
              <w:sz w:val="24"/>
              <w:szCs w:val="24"/>
            </w:rPr>
            <w:fldChar w:fldCharType="begin"/>
          </w:r>
          <w:r>
            <w:rPr>
              <w:sz w:val="24"/>
              <w:szCs w:val="24"/>
            </w:rPr>
            <w:instrText xml:space="preserve"> PAGEREF _Toc30343 \h </w:instrText>
          </w:r>
          <w:r>
            <w:rPr>
              <w:sz w:val="24"/>
              <w:szCs w:val="24"/>
            </w:rPr>
            <w:fldChar w:fldCharType="separate"/>
          </w:r>
          <w:r>
            <w:rPr>
              <w:sz w:val="24"/>
              <w:szCs w:val="24"/>
            </w:rPr>
            <w:t>1</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7A84F7F1">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_Toc4077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1.3 适用范围</w:t>
          </w:r>
          <w:r>
            <w:rPr>
              <w:sz w:val="24"/>
              <w:szCs w:val="24"/>
            </w:rPr>
            <w:tab/>
          </w:r>
          <w:r>
            <w:rPr>
              <w:sz w:val="24"/>
              <w:szCs w:val="24"/>
            </w:rPr>
            <w:fldChar w:fldCharType="begin"/>
          </w:r>
          <w:r>
            <w:rPr>
              <w:sz w:val="24"/>
              <w:szCs w:val="24"/>
            </w:rPr>
            <w:instrText xml:space="preserve"> PAGEREF _Toc4077 \h </w:instrText>
          </w:r>
          <w:r>
            <w:rPr>
              <w:sz w:val="24"/>
              <w:szCs w:val="24"/>
            </w:rPr>
            <w:fldChar w:fldCharType="separate"/>
          </w:r>
          <w:r>
            <w:rPr>
              <w:sz w:val="24"/>
              <w:szCs w:val="24"/>
            </w:rPr>
            <w:t>1</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69AD8500">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_Toc1255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1.4 工作原则</w:t>
          </w:r>
          <w:r>
            <w:rPr>
              <w:sz w:val="24"/>
              <w:szCs w:val="24"/>
            </w:rPr>
            <w:tab/>
          </w:r>
          <w:r>
            <w:rPr>
              <w:sz w:val="24"/>
              <w:szCs w:val="24"/>
            </w:rPr>
            <w:fldChar w:fldCharType="begin"/>
          </w:r>
          <w:r>
            <w:rPr>
              <w:sz w:val="24"/>
              <w:szCs w:val="24"/>
            </w:rPr>
            <w:instrText xml:space="preserve"> PAGEREF _Toc1255 \h </w:instrText>
          </w:r>
          <w:r>
            <w:rPr>
              <w:sz w:val="24"/>
              <w:szCs w:val="24"/>
            </w:rPr>
            <w:fldChar w:fldCharType="separate"/>
          </w:r>
          <w:r>
            <w:rPr>
              <w:sz w:val="24"/>
              <w:szCs w:val="24"/>
            </w:rPr>
            <w:t>2</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660B537E">
          <w:pPr>
            <w:pStyle w:val="10"/>
            <w:keepNext w:val="0"/>
            <w:keepLines w:val="0"/>
            <w:pageBreakBefore w:val="0"/>
            <w:tabs>
              <w:tab w:val="right" w:leader="dot" w:pos="8306"/>
            </w:tabs>
            <w:wordWrap/>
            <w:overflowPunct/>
            <w:topLinePunct w:val="0"/>
            <w:bidi w:val="0"/>
            <w:adjustRightInd w:val="0"/>
            <w:snapToGrid w:val="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_Toc19429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黑体" w:hAnsi="黑体" w:eastAsia="黑体" w:cs="黑体"/>
              <w:snapToGrid/>
              <w:kern w:val="2"/>
              <w:sz w:val="24"/>
              <w:szCs w:val="40"/>
              <w:lang w:val="en-US" w:eastAsia="zh-CN" w:bidi="ar-SA"/>
            </w:rPr>
            <w:t>2.风险和资源现状分析</w:t>
          </w:r>
          <w:r>
            <w:rPr>
              <w:sz w:val="24"/>
              <w:szCs w:val="24"/>
            </w:rPr>
            <w:tab/>
          </w:r>
          <w:r>
            <w:rPr>
              <w:sz w:val="24"/>
              <w:szCs w:val="24"/>
            </w:rPr>
            <w:fldChar w:fldCharType="begin"/>
          </w:r>
          <w:r>
            <w:rPr>
              <w:sz w:val="24"/>
              <w:szCs w:val="24"/>
            </w:rPr>
            <w:instrText xml:space="preserve"> PAGEREF _Toc19429 \h </w:instrText>
          </w:r>
          <w:r>
            <w:rPr>
              <w:sz w:val="24"/>
              <w:szCs w:val="24"/>
            </w:rPr>
            <w:fldChar w:fldCharType="separate"/>
          </w:r>
          <w:r>
            <w:rPr>
              <w:sz w:val="24"/>
              <w:szCs w:val="24"/>
            </w:rPr>
            <w:t>3</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13D7AFE0">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_Toc2260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default" w:ascii="楷体" w:hAnsi="楷体" w:eastAsia="楷体" w:cs="楷体"/>
              <w:snapToGrid/>
              <w:kern w:val="2"/>
              <w:sz w:val="24"/>
              <w:szCs w:val="40"/>
              <w:lang w:val="en-US" w:eastAsia="zh-CN" w:bidi="ar-SA"/>
            </w:rPr>
            <w:t>2.1</w:t>
          </w:r>
          <w:r>
            <w:rPr>
              <w:rFonts w:hint="eastAsia" w:ascii="楷体" w:hAnsi="楷体" w:eastAsia="楷体" w:cs="楷体"/>
              <w:snapToGrid/>
              <w:kern w:val="2"/>
              <w:sz w:val="24"/>
              <w:szCs w:val="40"/>
              <w:lang w:val="en-US" w:eastAsia="zh-CN"/>
            </w:rPr>
            <w:t>风险评估</w:t>
          </w:r>
          <w:r>
            <w:rPr>
              <w:sz w:val="24"/>
              <w:szCs w:val="24"/>
            </w:rPr>
            <w:tab/>
          </w:r>
          <w:r>
            <w:rPr>
              <w:sz w:val="24"/>
              <w:szCs w:val="24"/>
            </w:rPr>
            <w:fldChar w:fldCharType="begin"/>
          </w:r>
          <w:r>
            <w:rPr>
              <w:sz w:val="24"/>
              <w:szCs w:val="24"/>
            </w:rPr>
            <w:instrText xml:space="preserve"> PAGEREF _Toc2260 \h </w:instrText>
          </w:r>
          <w:r>
            <w:rPr>
              <w:sz w:val="24"/>
              <w:szCs w:val="24"/>
            </w:rPr>
            <w:fldChar w:fldCharType="separate"/>
          </w:r>
          <w:r>
            <w:rPr>
              <w:sz w:val="24"/>
              <w:szCs w:val="24"/>
            </w:rPr>
            <w:t>3</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7CA7DB91">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_Toc20799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default" w:ascii="楷体" w:hAnsi="楷体" w:eastAsia="楷体" w:cs="楷体"/>
              <w:snapToGrid/>
              <w:kern w:val="2"/>
              <w:sz w:val="24"/>
              <w:szCs w:val="40"/>
              <w:lang w:val="en-US" w:eastAsia="zh-CN" w:bidi="ar-SA"/>
            </w:rPr>
            <w:t>2.2</w:t>
          </w:r>
          <w:r>
            <w:rPr>
              <w:rFonts w:hint="eastAsia" w:ascii="楷体" w:hAnsi="楷体" w:eastAsia="楷体" w:cs="楷体"/>
              <w:snapToGrid/>
              <w:kern w:val="2"/>
              <w:sz w:val="24"/>
              <w:szCs w:val="40"/>
              <w:lang w:val="en-US" w:eastAsia="zh-CN"/>
            </w:rPr>
            <w:t>资源调查</w:t>
          </w:r>
          <w:r>
            <w:rPr>
              <w:sz w:val="24"/>
              <w:szCs w:val="24"/>
            </w:rPr>
            <w:tab/>
          </w:r>
          <w:r>
            <w:rPr>
              <w:sz w:val="24"/>
              <w:szCs w:val="24"/>
            </w:rPr>
            <w:fldChar w:fldCharType="begin"/>
          </w:r>
          <w:r>
            <w:rPr>
              <w:sz w:val="24"/>
              <w:szCs w:val="24"/>
            </w:rPr>
            <w:instrText xml:space="preserve"> PAGEREF _Toc20799 \h </w:instrText>
          </w:r>
          <w:r>
            <w:rPr>
              <w:sz w:val="24"/>
              <w:szCs w:val="24"/>
            </w:rPr>
            <w:fldChar w:fldCharType="separate"/>
          </w:r>
          <w:r>
            <w:rPr>
              <w:sz w:val="24"/>
              <w:szCs w:val="24"/>
            </w:rPr>
            <w:t>4</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1CF87C2E">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_Toc7049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default" w:ascii="楷体" w:hAnsi="楷体" w:eastAsia="楷体" w:cs="楷体"/>
              <w:snapToGrid/>
              <w:kern w:val="2"/>
              <w:sz w:val="24"/>
              <w:szCs w:val="40"/>
              <w:lang w:val="en-US" w:eastAsia="zh-CN" w:bidi="ar-SA"/>
            </w:rPr>
            <w:t>2.3</w:t>
          </w:r>
          <w:r>
            <w:rPr>
              <w:rFonts w:hint="eastAsia" w:ascii="楷体" w:hAnsi="楷体" w:eastAsia="楷体" w:cs="楷体"/>
              <w:snapToGrid/>
              <w:kern w:val="2"/>
              <w:sz w:val="24"/>
              <w:szCs w:val="40"/>
              <w:lang w:val="en-US" w:eastAsia="zh-CN"/>
            </w:rPr>
            <w:t>案例分析</w:t>
          </w:r>
          <w:r>
            <w:rPr>
              <w:sz w:val="24"/>
              <w:szCs w:val="24"/>
            </w:rPr>
            <w:tab/>
          </w:r>
          <w:r>
            <w:rPr>
              <w:sz w:val="24"/>
              <w:szCs w:val="24"/>
            </w:rPr>
            <w:fldChar w:fldCharType="begin"/>
          </w:r>
          <w:r>
            <w:rPr>
              <w:sz w:val="24"/>
              <w:szCs w:val="24"/>
            </w:rPr>
            <w:instrText xml:space="preserve"> PAGEREF _Toc7049 \h </w:instrText>
          </w:r>
          <w:r>
            <w:rPr>
              <w:sz w:val="24"/>
              <w:szCs w:val="24"/>
            </w:rPr>
            <w:fldChar w:fldCharType="separate"/>
          </w:r>
          <w:r>
            <w:rPr>
              <w:sz w:val="24"/>
              <w:szCs w:val="24"/>
            </w:rPr>
            <w:t>4</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052572C6">
          <w:pPr>
            <w:pStyle w:val="10"/>
            <w:keepNext w:val="0"/>
            <w:keepLines w:val="0"/>
            <w:pageBreakBefore w:val="0"/>
            <w:tabs>
              <w:tab w:val="right" w:leader="dot" w:pos="8306"/>
            </w:tabs>
            <w:wordWrap/>
            <w:overflowPunct/>
            <w:topLinePunct w:val="0"/>
            <w:bidi w:val="0"/>
            <w:adjustRightInd w:val="0"/>
            <w:snapToGrid w:val="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_Toc11894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黑体" w:hAnsi="黑体" w:eastAsia="黑体" w:cs="黑体"/>
              <w:snapToGrid/>
              <w:kern w:val="2"/>
              <w:sz w:val="24"/>
              <w:szCs w:val="40"/>
              <w:lang w:val="en-US" w:eastAsia="zh-CN" w:bidi="ar-SA"/>
            </w:rPr>
            <w:t>3.应急指挥体系及职责</w:t>
          </w:r>
          <w:r>
            <w:rPr>
              <w:sz w:val="24"/>
              <w:szCs w:val="24"/>
            </w:rPr>
            <w:tab/>
          </w:r>
          <w:r>
            <w:rPr>
              <w:sz w:val="24"/>
              <w:szCs w:val="24"/>
            </w:rPr>
            <w:fldChar w:fldCharType="begin"/>
          </w:r>
          <w:r>
            <w:rPr>
              <w:sz w:val="24"/>
              <w:szCs w:val="24"/>
            </w:rPr>
            <w:instrText xml:space="preserve"> PAGEREF _Toc11894 \h </w:instrText>
          </w:r>
          <w:r>
            <w:rPr>
              <w:sz w:val="24"/>
              <w:szCs w:val="24"/>
            </w:rPr>
            <w:fldChar w:fldCharType="separate"/>
          </w:r>
          <w:r>
            <w:rPr>
              <w:sz w:val="24"/>
              <w:szCs w:val="24"/>
            </w:rPr>
            <w:t>5</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7D421DFD">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_Toc19200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3.1 应急指挥机构与职责</w:t>
          </w:r>
          <w:r>
            <w:rPr>
              <w:sz w:val="24"/>
              <w:szCs w:val="24"/>
            </w:rPr>
            <w:tab/>
          </w:r>
          <w:r>
            <w:rPr>
              <w:sz w:val="24"/>
              <w:szCs w:val="24"/>
            </w:rPr>
            <w:fldChar w:fldCharType="begin"/>
          </w:r>
          <w:r>
            <w:rPr>
              <w:sz w:val="24"/>
              <w:szCs w:val="24"/>
            </w:rPr>
            <w:instrText xml:space="preserve"> PAGEREF _Toc19200 \h </w:instrText>
          </w:r>
          <w:r>
            <w:rPr>
              <w:sz w:val="24"/>
              <w:szCs w:val="24"/>
            </w:rPr>
            <w:fldChar w:fldCharType="separate"/>
          </w:r>
          <w:r>
            <w:rPr>
              <w:sz w:val="24"/>
              <w:szCs w:val="24"/>
            </w:rPr>
            <w:t>5</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71833851">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_Toc13667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3.2 现场指挥部</w:t>
          </w:r>
          <w:r>
            <w:rPr>
              <w:sz w:val="24"/>
              <w:szCs w:val="24"/>
            </w:rPr>
            <w:tab/>
          </w:r>
          <w:r>
            <w:rPr>
              <w:sz w:val="24"/>
              <w:szCs w:val="24"/>
            </w:rPr>
            <w:fldChar w:fldCharType="begin"/>
          </w:r>
          <w:r>
            <w:rPr>
              <w:sz w:val="24"/>
              <w:szCs w:val="24"/>
            </w:rPr>
            <w:instrText xml:space="preserve"> PAGEREF _Toc13667 \h </w:instrText>
          </w:r>
          <w:r>
            <w:rPr>
              <w:sz w:val="24"/>
              <w:szCs w:val="24"/>
            </w:rPr>
            <w:fldChar w:fldCharType="separate"/>
          </w:r>
          <w:r>
            <w:rPr>
              <w:sz w:val="24"/>
              <w:szCs w:val="24"/>
            </w:rPr>
            <w:t>10</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33B30C97">
          <w:pPr>
            <w:pStyle w:val="10"/>
            <w:keepNext w:val="0"/>
            <w:keepLines w:val="0"/>
            <w:pageBreakBefore w:val="0"/>
            <w:tabs>
              <w:tab w:val="right" w:leader="dot" w:pos="8306"/>
            </w:tabs>
            <w:wordWrap/>
            <w:overflowPunct/>
            <w:topLinePunct w:val="0"/>
            <w:bidi w:val="0"/>
            <w:adjustRightInd w:val="0"/>
            <w:snapToGrid w:val="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_Toc13925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黑体" w:hAnsi="黑体" w:eastAsia="黑体" w:cs="黑体"/>
              <w:snapToGrid/>
              <w:kern w:val="2"/>
              <w:sz w:val="24"/>
              <w:szCs w:val="40"/>
              <w:lang w:val="en-US" w:eastAsia="zh-CN" w:bidi="ar-SA"/>
            </w:rPr>
            <w:t>4.预防与监测预警</w:t>
          </w:r>
          <w:r>
            <w:rPr>
              <w:sz w:val="24"/>
              <w:szCs w:val="24"/>
            </w:rPr>
            <w:tab/>
          </w:r>
          <w:r>
            <w:rPr>
              <w:sz w:val="24"/>
              <w:szCs w:val="24"/>
            </w:rPr>
            <w:fldChar w:fldCharType="begin"/>
          </w:r>
          <w:r>
            <w:rPr>
              <w:sz w:val="24"/>
              <w:szCs w:val="24"/>
            </w:rPr>
            <w:instrText xml:space="preserve"> PAGEREF _Toc13925 \h </w:instrText>
          </w:r>
          <w:r>
            <w:rPr>
              <w:sz w:val="24"/>
              <w:szCs w:val="24"/>
            </w:rPr>
            <w:fldChar w:fldCharType="separate"/>
          </w:r>
          <w:r>
            <w:rPr>
              <w:sz w:val="24"/>
              <w:szCs w:val="24"/>
            </w:rPr>
            <w:t>13</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25F91A2F">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_Toc12883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4.1 预防</w:t>
          </w:r>
          <w:r>
            <w:rPr>
              <w:sz w:val="24"/>
              <w:szCs w:val="24"/>
            </w:rPr>
            <w:tab/>
          </w:r>
          <w:r>
            <w:rPr>
              <w:sz w:val="24"/>
              <w:szCs w:val="24"/>
            </w:rPr>
            <w:fldChar w:fldCharType="begin"/>
          </w:r>
          <w:r>
            <w:rPr>
              <w:sz w:val="24"/>
              <w:szCs w:val="24"/>
            </w:rPr>
            <w:instrText xml:space="preserve"> PAGEREF _Toc12883 \h </w:instrText>
          </w:r>
          <w:r>
            <w:rPr>
              <w:sz w:val="24"/>
              <w:szCs w:val="24"/>
            </w:rPr>
            <w:fldChar w:fldCharType="separate"/>
          </w:r>
          <w:r>
            <w:rPr>
              <w:sz w:val="24"/>
              <w:szCs w:val="24"/>
            </w:rPr>
            <w:t>13</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2487B26E">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_Toc17241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4.2 监测预警</w:t>
          </w:r>
          <w:r>
            <w:rPr>
              <w:sz w:val="24"/>
              <w:szCs w:val="24"/>
            </w:rPr>
            <w:tab/>
          </w:r>
          <w:r>
            <w:rPr>
              <w:sz w:val="24"/>
              <w:szCs w:val="24"/>
            </w:rPr>
            <w:fldChar w:fldCharType="begin"/>
          </w:r>
          <w:r>
            <w:rPr>
              <w:sz w:val="24"/>
              <w:szCs w:val="24"/>
            </w:rPr>
            <w:instrText xml:space="preserve"> PAGEREF _Toc17241 \h </w:instrText>
          </w:r>
          <w:r>
            <w:rPr>
              <w:sz w:val="24"/>
              <w:szCs w:val="24"/>
            </w:rPr>
            <w:fldChar w:fldCharType="separate"/>
          </w:r>
          <w:r>
            <w:rPr>
              <w:sz w:val="24"/>
              <w:szCs w:val="24"/>
            </w:rPr>
            <w:t>14</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71A619B8">
          <w:pPr>
            <w:pStyle w:val="10"/>
            <w:keepNext w:val="0"/>
            <w:keepLines w:val="0"/>
            <w:pageBreakBefore w:val="0"/>
            <w:tabs>
              <w:tab w:val="right" w:leader="dot" w:pos="8306"/>
            </w:tabs>
            <w:wordWrap/>
            <w:overflowPunct/>
            <w:topLinePunct w:val="0"/>
            <w:bidi w:val="0"/>
            <w:adjustRightInd w:val="0"/>
            <w:snapToGrid w:val="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_Toc15554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黑体" w:hAnsi="黑体" w:eastAsia="黑体" w:cs="黑体"/>
              <w:snapToGrid/>
              <w:kern w:val="2"/>
              <w:sz w:val="24"/>
              <w:szCs w:val="40"/>
              <w:lang w:val="en-US" w:eastAsia="zh-CN" w:bidi="ar-SA"/>
            </w:rPr>
            <w:t>5.应急处置</w:t>
          </w:r>
          <w:r>
            <w:rPr>
              <w:sz w:val="24"/>
              <w:szCs w:val="24"/>
            </w:rPr>
            <w:tab/>
          </w:r>
          <w:r>
            <w:rPr>
              <w:sz w:val="24"/>
              <w:szCs w:val="24"/>
            </w:rPr>
            <w:fldChar w:fldCharType="begin"/>
          </w:r>
          <w:r>
            <w:rPr>
              <w:sz w:val="24"/>
              <w:szCs w:val="24"/>
            </w:rPr>
            <w:instrText xml:space="preserve"> PAGEREF _Toc15554 \h </w:instrText>
          </w:r>
          <w:r>
            <w:rPr>
              <w:sz w:val="24"/>
              <w:szCs w:val="24"/>
            </w:rPr>
            <w:fldChar w:fldCharType="separate"/>
          </w:r>
          <w:r>
            <w:rPr>
              <w:sz w:val="24"/>
              <w:szCs w:val="24"/>
            </w:rPr>
            <w:t>17</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300901CF">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_Toc23114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5.1 先期处置</w:t>
          </w:r>
          <w:r>
            <w:rPr>
              <w:sz w:val="24"/>
              <w:szCs w:val="24"/>
            </w:rPr>
            <w:tab/>
          </w:r>
          <w:r>
            <w:rPr>
              <w:sz w:val="24"/>
              <w:szCs w:val="24"/>
            </w:rPr>
            <w:fldChar w:fldCharType="begin"/>
          </w:r>
          <w:r>
            <w:rPr>
              <w:sz w:val="24"/>
              <w:szCs w:val="24"/>
            </w:rPr>
            <w:instrText xml:space="preserve"> PAGEREF _Toc23114 \h </w:instrText>
          </w:r>
          <w:r>
            <w:rPr>
              <w:sz w:val="24"/>
              <w:szCs w:val="24"/>
            </w:rPr>
            <w:fldChar w:fldCharType="separate"/>
          </w:r>
          <w:r>
            <w:rPr>
              <w:sz w:val="24"/>
              <w:szCs w:val="24"/>
            </w:rPr>
            <w:t>17</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7FEF46A8">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_Toc30427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5.2 信息报告</w:t>
          </w:r>
          <w:r>
            <w:rPr>
              <w:sz w:val="24"/>
              <w:szCs w:val="24"/>
            </w:rPr>
            <w:tab/>
          </w:r>
          <w:r>
            <w:rPr>
              <w:sz w:val="24"/>
              <w:szCs w:val="24"/>
            </w:rPr>
            <w:fldChar w:fldCharType="begin"/>
          </w:r>
          <w:r>
            <w:rPr>
              <w:sz w:val="24"/>
              <w:szCs w:val="24"/>
            </w:rPr>
            <w:instrText xml:space="preserve"> PAGEREF _Toc30427 \h </w:instrText>
          </w:r>
          <w:r>
            <w:rPr>
              <w:sz w:val="24"/>
              <w:szCs w:val="24"/>
            </w:rPr>
            <w:fldChar w:fldCharType="separate"/>
          </w:r>
          <w:r>
            <w:rPr>
              <w:sz w:val="24"/>
              <w:szCs w:val="24"/>
            </w:rPr>
            <w:t>18</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34D62AFB">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_Toc19033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5.3 响应分级及行动</w:t>
          </w:r>
          <w:r>
            <w:rPr>
              <w:sz w:val="24"/>
              <w:szCs w:val="24"/>
            </w:rPr>
            <w:tab/>
          </w:r>
          <w:r>
            <w:rPr>
              <w:sz w:val="24"/>
              <w:szCs w:val="24"/>
            </w:rPr>
            <w:fldChar w:fldCharType="begin"/>
          </w:r>
          <w:r>
            <w:rPr>
              <w:sz w:val="24"/>
              <w:szCs w:val="24"/>
            </w:rPr>
            <w:instrText xml:space="preserve"> PAGEREF _Toc19033 \h </w:instrText>
          </w:r>
          <w:r>
            <w:rPr>
              <w:sz w:val="24"/>
              <w:szCs w:val="24"/>
            </w:rPr>
            <w:fldChar w:fldCharType="separate"/>
          </w:r>
          <w:r>
            <w:rPr>
              <w:sz w:val="24"/>
              <w:szCs w:val="24"/>
            </w:rPr>
            <w:t>19</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46B40569">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_Toc31292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5.4 扩大应急</w:t>
          </w:r>
          <w:r>
            <w:rPr>
              <w:sz w:val="24"/>
              <w:szCs w:val="24"/>
            </w:rPr>
            <w:tab/>
          </w:r>
          <w:r>
            <w:rPr>
              <w:sz w:val="24"/>
              <w:szCs w:val="24"/>
            </w:rPr>
            <w:fldChar w:fldCharType="begin"/>
          </w:r>
          <w:r>
            <w:rPr>
              <w:sz w:val="24"/>
              <w:szCs w:val="24"/>
            </w:rPr>
            <w:instrText xml:space="preserve"> PAGEREF _Toc31292 \h </w:instrText>
          </w:r>
          <w:r>
            <w:rPr>
              <w:sz w:val="24"/>
              <w:szCs w:val="24"/>
            </w:rPr>
            <w:fldChar w:fldCharType="separate"/>
          </w:r>
          <w:r>
            <w:rPr>
              <w:sz w:val="24"/>
              <w:szCs w:val="24"/>
            </w:rPr>
            <w:t>22</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70B6E35C">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_Toc14764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5.5 处置措施</w:t>
          </w:r>
          <w:r>
            <w:rPr>
              <w:sz w:val="24"/>
              <w:szCs w:val="24"/>
            </w:rPr>
            <w:tab/>
          </w:r>
          <w:r>
            <w:rPr>
              <w:sz w:val="24"/>
              <w:szCs w:val="24"/>
            </w:rPr>
            <w:fldChar w:fldCharType="begin"/>
          </w:r>
          <w:r>
            <w:rPr>
              <w:sz w:val="24"/>
              <w:szCs w:val="24"/>
            </w:rPr>
            <w:instrText xml:space="preserve"> PAGEREF _Toc14764 \h </w:instrText>
          </w:r>
          <w:r>
            <w:rPr>
              <w:sz w:val="24"/>
              <w:szCs w:val="24"/>
            </w:rPr>
            <w:fldChar w:fldCharType="separate"/>
          </w:r>
          <w:r>
            <w:rPr>
              <w:sz w:val="24"/>
              <w:szCs w:val="24"/>
            </w:rPr>
            <w:t>23</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0951B5D5">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_Toc25480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5.6 信息发布</w:t>
          </w:r>
          <w:r>
            <w:rPr>
              <w:sz w:val="24"/>
              <w:szCs w:val="24"/>
            </w:rPr>
            <w:tab/>
          </w:r>
          <w:r>
            <w:rPr>
              <w:sz w:val="24"/>
              <w:szCs w:val="24"/>
            </w:rPr>
            <w:fldChar w:fldCharType="begin"/>
          </w:r>
          <w:r>
            <w:rPr>
              <w:sz w:val="24"/>
              <w:szCs w:val="24"/>
            </w:rPr>
            <w:instrText xml:space="preserve"> PAGEREF _Toc25480 \h </w:instrText>
          </w:r>
          <w:r>
            <w:rPr>
              <w:sz w:val="24"/>
              <w:szCs w:val="24"/>
            </w:rPr>
            <w:fldChar w:fldCharType="separate"/>
          </w:r>
          <w:r>
            <w:rPr>
              <w:sz w:val="24"/>
              <w:szCs w:val="24"/>
            </w:rPr>
            <w:t>26</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523CFCD1">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_Toc27934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5.7 应急结束</w:t>
          </w:r>
          <w:r>
            <w:rPr>
              <w:sz w:val="24"/>
              <w:szCs w:val="24"/>
            </w:rPr>
            <w:tab/>
          </w:r>
          <w:r>
            <w:rPr>
              <w:sz w:val="24"/>
              <w:szCs w:val="24"/>
            </w:rPr>
            <w:fldChar w:fldCharType="begin"/>
          </w:r>
          <w:r>
            <w:rPr>
              <w:sz w:val="24"/>
              <w:szCs w:val="24"/>
            </w:rPr>
            <w:instrText xml:space="preserve"> PAGEREF _Toc27934 \h </w:instrText>
          </w:r>
          <w:r>
            <w:rPr>
              <w:sz w:val="24"/>
              <w:szCs w:val="24"/>
            </w:rPr>
            <w:fldChar w:fldCharType="separate"/>
          </w:r>
          <w:r>
            <w:rPr>
              <w:sz w:val="24"/>
              <w:szCs w:val="24"/>
            </w:rPr>
            <w:t>27</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725CCA53">
          <w:pPr>
            <w:pStyle w:val="10"/>
            <w:keepNext w:val="0"/>
            <w:keepLines w:val="0"/>
            <w:pageBreakBefore w:val="0"/>
            <w:tabs>
              <w:tab w:val="right" w:leader="dot" w:pos="8306"/>
            </w:tabs>
            <w:wordWrap/>
            <w:overflowPunct/>
            <w:topLinePunct w:val="0"/>
            <w:bidi w:val="0"/>
            <w:adjustRightInd w:val="0"/>
            <w:snapToGrid w:val="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_Toc15306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黑体" w:hAnsi="黑体" w:eastAsia="黑体" w:cs="黑体"/>
              <w:snapToGrid/>
              <w:kern w:val="2"/>
              <w:sz w:val="24"/>
              <w:szCs w:val="40"/>
              <w:lang w:val="en-US" w:eastAsia="zh-CN" w:bidi="ar-SA"/>
            </w:rPr>
            <w:t>6.善后工作</w:t>
          </w:r>
          <w:r>
            <w:rPr>
              <w:sz w:val="24"/>
              <w:szCs w:val="24"/>
            </w:rPr>
            <w:tab/>
          </w:r>
          <w:r>
            <w:rPr>
              <w:sz w:val="24"/>
              <w:szCs w:val="24"/>
            </w:rPr>
            <w:fldChar w:fldCharType="begin"/>
          </w:r>
          <w:r>
            <w:rPr>
              <w:sz w:val="24"/>
              <w:szCs w:val="24"/>
            </w:rPr>
            <w:instrText xml:space="preserve"> PAGEREF _Toc15306 \h </w:instrText>
          </w:r>
          <w:r>
            <w:rPr>
              <w:sz w:val="24"/>
              <w:szCs w:val="24"/>
            </w:rPr>
            <w:fldChar w:fldCharType="separate"/>
          </w:r>
          <w:r>
            <w:rPr>
              <w:sz w:val="24"/>
              <w:szCs w:val="24"/>
            </w:rPr>
            <w:t>27</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234F25A1">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_Toc19119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6.1 善后处置</w:t>
          </w:r>
          <w:r>
            <w:rPr>
              <w:sz w:val="24"/>
              <w:szCs w:val="24"/>
            </w:rPr>
            <w:tab/>
          </w:r>
          <w:r>
            <w:rPr>
              <w:sz w:val="24"/>
              <w:szCs w:val="24"/>
            </w:rPr>
            <w:fldChar w:fldCharType="begin"/>
          </w:r>
          <w:r>
            <w:rPr>
              <w:sz w:val="24"/>
              <w:szCs w:val="24"/>
            </w:rPr>
            <w:instrText xml:space="preserve"> PAGEREF _Toc19119 \h </w:instrText>
          </w:r>
          <w:r>
            <w:rPr>
              <w:sz w:val="24"/>
              <w:szCs w:val="24"/>
            </w:rPr>
            <w:fldChar w:fldCharType="separate"/>
          </w:r>
          <w:r>
            <w:rPr>
              <w:sz w:val="24"/>
              <w:szCs w:val="24"/>
            </w:rPr>
            <w:t>27</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1442EA0D">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_Toc13754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6.2 调查评估</w:t>
          </w:r>
          <w:r>
            <w:rPr>
              <w:sz w:val="24"/>
              <w:szCs w:val="24"/>
            </w:rPr>
            <w:tab/>
          </w:r>
          <w:r>
            <w:rPr>
              <w:sz w:val="24"/>
              <w:szCs w:val="24"/>
            </w:rPr>
            <w:fldChar w:fldCharType="begin"/>
          </w:r>
          <w:r>
            <w:rPr>
              <w:sz w:val="24"/>
              <w:szCs w:val="24"/>
            </w:rPr>
            <w:instrText xml:space="preserve"> PAGEREF _Toc13754 \h </w:instrText>
          </w:r>
          <w:r>
            <w:rPr>
              <w:sz w:val="24"/>
              <w:szCs w:val="24"/>
            </w:rPr>
            <w:fldChar w:fldCharType="separate"/>
          </w:r>
          <w:r>
            <w:rPr>
              <w:sz w:val="24"/>
              <w:szCs w:val="24"/>
            </w:rPr>
            <w:t>27</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6E6B1B6E">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_Toc21530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6.3 总结评估</w:t>
          </w:r>
          <w:r>
            <w:rPr>
              <w:sz w:val="24"/>
              <w:szCs w:val="24"/>
            </w:rPr>
            <w:tab/>
          </w:r>
          <w:r>
            <w:rPr>
              <w:sz w:val="24"/>
              <w:szCs w:val="24"/>
            </w:rPr>
            <w:fldChar w:fldCharType="begin"/>
          </w:r>
          <w:r>
            <w:rPr>
              <w:sz w:val="24"/>
              <w:szCs w:val="24"/>
            </w:rPr>
            <w:instrText xml:space="preserve"> PAGEREF _Toc21530 \h </w:instrText>
          </w:r>
          <w:r>
            <w:rPr>
              <w:sz w:val="24"/>
              <w:szCs w:val="24"/>
            </w:rPr>
            <w:fldChar w:fldCharType="separate"/>
          </w:r>
          <w:r>
            <w:rPr>
              <w:sz w:val="24"/>
              <w:szCs w:val="24"/>
            </w:rPr>
            <w:t>28</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6EFCFDFB">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_Toc9825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6.4 恢复重建</w:t>
          </w:r>
          <w:r>
            <w:rPr>
              <w:sz w:val="24"/>
              <w:szCs w:val="24"/>
            </w:rPr>
            <w:tab/>
          </w:r>
          <w:r>
            <w:rPr>
              <w:sz w:val="24"/>
              <w:szCs w:val="24"/>
            </w:rPr>
            <w:fldChar w:fldCharType="begin"/>
          </w:r>
          <w:r>
            <w:rPr>
              <w:sz w:val="24"/>
              <w:szCs w:val="24"/>
            </w:rPr>
            <w:instrText xml:space="preserve"> PAGEREF _Toc9825 \h </w:instrText>
          </w:r>
          <w:r>
            <w:rPr>
              <w:sz w:val="24"/>
              <w:szCs w:val="24"/>
            </w:rPr>
            <w:fldChar w:fldCharType="separate"/>
          </w:r>
          <w:r>
            <w:rPr>
              <w:sz w:val="24"/>
              <w:szCs w:val="24"/>
            </w:rPr>
            <w:t>28</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7B094C6E">
          <w:pPr>
            <w:pStyle w:val="10"/>
            <w:keepNext w:val="0"/>
            <w:keepLines w:val="0"/>
            <w:pageBreakBefore w:val="0"/>
            <w:tabs>
              <w:tab w:val="right" w:leader="dot" w:pos="8306"/>
            </w:tabs>
            <w:wordWrap/>
            <w:overflowPunct/>
            <w:topLinePunct w:val="0"/>
            <w:bidi w:val="0"/>
            <w:adjustRightInd w:val="0"/>
            <w:snapToGrid w:val="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_Toc897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黑体" w:hAnsi="黑体" w:eastAsia="黑体" w:cs="黑体"/>
              <w:snapToGrid/>
              <w:kern w:val="2"/>
              <w:sz w:val="24"/>
              <w:szCs w:val="40"/>
              <w:lang w:val="en-US" w:eastAsia="zh-CN" w:bidi="ar-SA"/>
            </w:rPr>
            <w:t>7.应急保障</w:t>
          </w:r>
          <w:r>
            <w:rPr>
              <w:sz w:val="24"/>
              <w:szCs w:val="24"/>
            </w:rPr>
            <w:tab/>
          </w:r>
          <w:r>
            <w:rPr>
              <w:sz w:val="24"/>
              <w:szCs w:val="24"/>
            </w:rPr>
            <w:fldChar w:fldCharType="begin"/>
          </w:r>
          <w:r>
            <w:rPr>
              <w:sz w:val="24"/>
              <w:szCs w:val="24"/>
            </w:rPr>
            <w:instrText xml:space="preserve"> PAGEREF _Toc897 \h </w:instrText>
          </w:r>
          <w:r>
            <w:rPr>
              <w:sz w:val="24"/>
              <w:szCs w:val="24"/>
            </w:rPr>
            <w:fldChar w:fldCharType="separate"/>
          </w:r>
          <w:r>
            <w:rPr>
              <w:sz w:val="24"/>
              <w:szCs w:val="24"/>
            </w:rPr>
            <w:t>28</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431C4FB2">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_Toc7094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7.1 队伍保障</w:t>
          </w:r>
          <w:r>
            <w:rPr>
              <w:sz w:val="24"/>
              <w:szCs w:val="24"/>
            </w:rPr>
            <w:tab/>
          </w:r>
          <w:r>
            <w:rPr>
              <w:sz w:val="24"/>
              <w:szCs w:val="24"/>
            </w:rPr>
            <w:fldChar w:fldCharType="begin"/>
          </w:r>
          <w:r>
            <w:rPr>
              <w:sz w:val="24"/>
              <w:szCs w:val="24"/>
            </w:rPr>
            <w:instrText xml:space="preserve"> PAGEREF _Toc7094 \h </w:instrText>
          </w:r>
          <w:r>
            <w:rPr>
              <w:sz w:val="24"/>
              <w:szCs w:val="24"/>
            </w:rPr>
            <w:fldChar w:fldCharType="separate"/>
          </w:r>
          <w:r>
            <w:rPr>
              <w:sz w:val="24"/>
              <w:szCs w:val="24"/>
            </w:rPr>
            <w:t>28</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6299379C">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_Toc524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7.2 物资保障</w:t>
          </w:r>
          <w:r>
            <w:rPr>
              <w:sz w:val="24"/>
              <w:szCs w:val="24"/>
            </w:rPr>
            <w:tab/>
          </w:r>
          <w:r>
            <w:rPr>
              <w:sz w:val="24"/>
              <w:szCs w:val="24"/>
            </w:rPr>
            <w:fldChar w:fldCharType="begin"/>
          </w:r>
          <w:r>
            <w:rPr>
              <w:sz w:val="24"/>
              <w:szCs w:val="24"/>
            </w:rPr>
            <w:instrText xml:space="preserve"> PAGEREF _Toc524 \h </w:instrText>
          </w:r>
          <w:r>
            <w:rPr>
              <w:sz w:val="24"/>
              <w:szCs w:val="24"/>
            </w:rPr>
            <w:fldChar w:fldCharType="separate"/>
          </w:r>
          <w:r>
            <w:rPr>
              <w:sz w:val="24"/>
              <w:szCs w:val="24"/>
            </w:rPr>
            <w:t>28</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786B94D0">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_Toc18714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7.3 治安保障</w:t>
          </w:r>
          <w:r>
            <w:rPr>
              <w:sz w:val="24"/>
              <w:szCs w:val="24"/>
            </w:rPr>
            <w:tab/>
          </w:r>
          <w:r>
            <w:rPr>
              <w:sz w:val="24"/>
              <w:szCs w:val="24"/>
            </w:rPr>
            <w:fldChar w:fldCharType="begin"/>
          </w:r>
          <w:r>
            <w:rPr>
              <w:sz w:val="24"/>
              <w:szCs w:val="24"/>
            </w:rPr>
            <w:instrText xml:space="preserve"> PAGEREF _Toc18714 \h </w:instrText>
          </w:r>
          <w:r>
            <w:rPr>
              <w:sz w:val="24"/>
              <w:szCs w:val="24"/>
            </w:rPr>
            <w:fldChar w:fldCharType="separate"/>
          </w:r>
          <w:r>
            <w:rPr>
              <w:sz w:val="24"/>
              <w:szCs w:val="24"/>
            </w:rPr>
            <w:t>29</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50CB376C">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_Toc12525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7.4 交通运输保障</w:t>
          </w:r>
          <w:r>
            <w:rPr>
              <w:sz w:val="24"/>
              <w:szCs w:val="24"/>
            </w:rPr>
            <w:tab/>
          </w:r>
          <w:r>
            <w:rPr>
              <w:sz w:val="24"/>
              <w:szCs w:val="24"/>
            </w:rPr>
            <w:fldChar w:fldCharType="begin"/>
          </w:r>
          <w:r>
            <w:rPr>
              <w:sz w:val="24"/>
              <w:szCs w:val="24"/>
            </w:rPr>
            <w:instrText xml:space="preserve"> PAGEREF _Toc12525 \h </w:instrText>
          </w:r>
          <w:r>
            <w:rPr>
              <w:sz w:val="24"/>
              <w:szCs w:val="24"/>
            </w:rPr>
            <w:fldChar w:fldCharType="separate"/>
          </w:r>
          <w:r>
            <w:rPr>
              <w:sz w:val="24"/>
              <w:szCs w:val="24"/>
            </w:rPr>
            <w:t>29</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0A023402">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_Toc238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7.5 通信与信息保障</w:t>
          </w:r>
          <w:r>
            <w:rPr>
              <w:sz w:val="24"/>
              <w:szCs w:val="24"/>
            </w:rPr>
            <w:tab/>
          </w:r>
          <w:r>
            <w:rPr>
              <w:sz w:val="24"/>
              <w:szCs w:val="24"/>
            </w:rPr>
            <w:fldChar w:fldCharType="begin"/>
          </w:r>
          <w:r>
            <w:rPr>
              <w:sz w:val="24"/>
              <w:szCs w:val="24"/>
            </w:rPr>
            <w:instrText xml:space="preserve"> PAGEREF _Toc238 \h </w:instrText>
          </w:r>
          <w:r>
            <w:rPr>
              <w:sz w:val="24"/>
              <w:szCs w:val="24"/>
            </w:rPr>
            <w:fldChar w:fldCharType="separate"/>
          </w:r>
          <w:r>
            <w:rPr>
              <w:sz w:val="24"/>
              <w:szCs w:val="24"/>
            </w:rPr>
            <w:t>29</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543C7698">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_Toc32559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7.6 经费保障</w:t>
          </w:r>
          <w:r>
            <w:rPr>
              <w:sz w:val="24"/>
              <w:szCs w:val="24"/>
            </w:rPr>
            <w:tab/>
          </w:r>
          <w:r>
            <w:rPr>
              <w:sz w:val="24"/>
              <w:szCs w:val="24"/>
            </w:rPr>
            <w:fldChar w:fldCharType="begin"/>
          </w:r>
          <w:r>
            <w:rPr>
              <w:sz w:val="24"/>
              <w:szCs w:val="24"/>
            </w:rPr>
            <w:instrText xml:space="preserve"> PAGEREF _Toc32559 \h </w:instrText>
          </w:r>
          <w:r>
            <w:rPr>
              <w:sz w:val="24"/>
              <w:szCs w:val="24"/>
            </w:rPr>
            <w:fldChar w:fldCharType="separate"/>
          </w:r>
          <w:r>
            <w:rPr>
              <w:sz w:val="24"/>
              <w:szCs w:val="24"/>
            </w:rPr>
            <w:t>29</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42B48439">
          <w:pPr>
            <w:pStyle w:val="10"/>
            <w:keepNext w:val="0"/>
            <w:keepLines w:val="0"/>
            <w:pageBreakBefore w:val="0"/>
            <w:tabs>
              <w:tab w:val="right" w:leader="dot" w:pos="8306"/>
            </w:tabs>
            <w:wordWrap/>
            <w:overflowPunct/>
            <w:topLinePunct w:val="0"/>
            <w:bidi w:val="0"/>
            <w:adjustRightInd w:val="0"/>
            <w:snapToGrid w:val="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_Toc27537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黑体" w:hAnsi="黑体" w:eastAsia="黑体" w:cs="黑体"/>
              <w:snapToGrid/>
              <w:kern w:val="2"/>
              <w:sz w:val="24"/>
              <w:szCs w:val="40"/>
              <w:lang w:val="en-US" w:eastAsia="zh-CN" w:bidi="ar-SA"/>
            </w:rPr>
            <w:t>8.监督管理</w:t>
          </w:r>
          <w:r>
            <w:rPr>
              <w:sz w:val="24"/>
              <w:szCs w:val="24"/>
            </w:rPr>
            <w:tab/>
          </w:r>
          <w:r>
            <w:rPr>
              <w:sz w:val="24"/>
              <w:szCs w:val="24"/>
            </w:rPr>
            <w:fldChar w:fldCharType="begin"/>
          </w:r>
          <w:r>
            <w:rPr>
              <w:sz w:val="24"/>
              <w:szCs w:val="24"/>
            </w:rPr>
            <w:instrText xml:space="preserve"> PAGEREF _Toc27537 \h </w:instrText>
          </w:r>
          <w:r>
            <w:rPr>
              <w:sz w:val="24"/>
              <w:szCs w:val="24"/>
            </w:rPr>
            <w:fldChar w:fldCharType="separate"/>
          </w:r>
          <w:r>
            <w:rPr>
              <w:sz w:val="24"/>
              <w:szCs w:val="24"/>
            </w:rPr>
            <w:t>30</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65F6A45A">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_Toc6957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8.1 宣传、培训和演练</w:t>
          </w:r>
          <w:r>
            <w:rPr>
              <w:sz w:val="24"/>
              <w:szCs w:val="24"/>
            </w:rPr>
            <w:tab/>
          </w:r>
          <w:r>
            <w:rPr>
              <w:sz w:val="24"/>
              <w:szCs w:val="24"/>
            </w:rPr>
            <w:fldChar w:fldCharType="begin"/>
          </w:r>
          <w:r>
            <w:rPr>
              <w:sz w:val="24"/>
              <w:szCs w:val="24"/>
            </w:rPr>
            <w:instrText xml:space="preserve"> PAGEREF _Toc6957 \h </w:instrText>
          </w:r>
          <w:r>
            <w:rPr>
              <w:sz w:val="24"/>
              <w:szCs w:val="24"/>
            </w:rPr>
            <w:fldChar w:fldCharType="separate"/>
          </w:r>
          <w:r>
            <w:rPr>
              <w:sz w:val="24"/>
              <w:szCs w:val="24"/>
            </w:rPr>
            <w:t>30</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17C326CE">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_Toc28547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8.2 奖励与责任追究</w:t>
          </w:r>
          <w:r>
            <w:rPr>
              <w:sz w:val="24"/>
              <w:szCs w:val="24"/>
            </w:rPr>
            <w:tab/>
          </w:r>
          <w:r>
            <w:rPr>
              <w:sz w:val="24"/>
              <w:szCs w:val="24"/>
            </w:rPr>
            <w:fldChar w:fldCharType="begin"/>
          </w:r>
          <w:r>
            <w:rPr>
              <w:sz w:val="24"/>
              <w:szCs w:val="24"/>
            </w:rPr>
            <w:instrText xml:space="preserve"> PAGEREF _Toc28547 \h </w:instrText>
          </w:r>
          <w:r>
            <w:rPr>
              <w:sz w:val="24"/>
              <w:szCs w:val="24"/>
            </w:rPr>
            <w:fldChar w:fldCharType="separate"/>
          </w:r>
          <w:r>
            <w:rPr>
              <w:sz w:val="24"/>
              <w:szCs w:val="24"/>
            </w:rPr>
            <w:t>31</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1C5987C6">
          <w:pPr>
            <w:pStyle w:val="10"/>
            <w:keepNext w:val="0"/>
            <w:keepLines w:val="0"/>
            <w:pageBreakBefore w:val="0"/>
            <w:tabs>
              <w:tab w:val="right" w:leader="dot" w:pos="8306"/>
            </w:tabs>
            <w:wordWrap/>
            <w:overflowPunct/>
            <w:topLinePunct w:val="0"/>
            <w:bidi w:val="0"/>
            <w:adjustRightInd w:val="0"/>
            <w:snapToGrid w:val="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_Toc17585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黑体" w:hAnsi="黑体" w:eastAsia="黑体" w:cs="黑体"/>
              <w:snapToGrid/>
              <w:kern w:val="2"/>
              <w:sz w:val="24"/>
              <w:szCs w:val="40"/>
              <w:lang w:val="en-US" w:eastAsia="zh-CN" w:bidi="ar-SA"/>
            </w:rPr>
            <w:t>9.附则</w:t>
          </w:r>
          <w:r>
            <w:rPr>
              <w:sz w:val="24"/>
              <w:szCs w:val="24"/>
            </w:rPr>
            <w:tab/>
          </w:r>
          <w:r>
            <w:rPr>
              <w:sz w:val="24"/>
              <w:szCs w:val="24"/>
            </w:rPr>
            <w:fldChar w:fldCharType="begin"/>
          </w:r>
          <w:r>
            <w:rPr>
              <w:sz w:val="24"/>
              <w:szCs w:val="24"/>
            </w:rPr>
            <w:instrText xml:space="preserve"> PAGEREF _Toc17585 \h </w:instrText>
          </w:r>
          <w:r>
            <w:rPr>
              <w:sz w:val="24"/>
              <w:szCs w:val="24"/>
            </w:rPr>
            <w:fldChar w:fldCharType="separate"/>
          </w:r>
          <w:r>
            <w:rPr>
              <w:sz w:val="24"/>
              <w:szCs w:val="24"/>
            </w:rPr>
            <w:t>31</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4480EF10">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_Toc7050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9.1 预案管理</w:t>
          </w:r>
          <w:r>
            <w:rPr>
              <w:sz w:val="24"/>
              <w:szCs w:val="24"/>
            </w:rPr>
            <w:tab/>
          </w:r>
          <w:r>
            <w:rPr>
              <w:sz w:val="24"/>
              <w:szCs w:val="24"/>
            </w:rPr>
            <w:fldChar w:fldCharType="begin"/>
          </w:r>
          <w:r>
            <w:rPr>
              <w:sz w:val="24"/>
              <w:szCs w:val="24"/>
            </w:rPr>
            <w:instrText xml:space="preserve"> PAGEREF _Toc7050 \h </w:instrText>
          </w:r>
          <w:r>
            <w:rPr>
              <w:sz w:val="24"/>
              <w:szCs w:val="24"/>
            </w:rPr>
            <w:fldChar w:fldCharType="separate"/>
          </w:r>
          <w:r>
            <w:rPr>
              <w:sz w:val="24"/>
              <w:szCs w:val="24"/>
            </w:rPr>
            <w:t>31</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6179A03C">
          <w:pPr>
            <w:pStyle w:val="10"/>
            <w:keepNext w:val="0"/>
            <w:keepLines w:val="0"/>
            <w:pageBreakBefore w:val="0"/>
            <w:tabs>
              <w:tab w:val="right" w:leader="dot" w:pos="8306"/>
            </w:tabs>
            <w:wordWrap/>
            <w:overflowPunct/>
            <w:topLinePunct w:val="0"/>
            <w:bidi w:val="0"/>
            <w:adjustRightInd w:val="0"/>
            <w:snapToGrid w:val="0"/>
            <w:ind w:firstLine="480" w:firstLineChars="200"/>
            <w:rPr>
              <w:sz w:val="24"/>
              <w:szCs w:val="24"/>
            </w:rPr>
          </w:pPr>
          <w:r>
            <w:rPr>
              <w:rFonts w:hint="eastAsia" w:ascii="方正小标宋简体" w:hAnsi="方正小标宋简体" w:eastAsia="方正小标宋简体" w:cs="方正小标宋简体"/>
              <w:snapToGrid/>
              <w:kern w:val="2"/>
              <w:sz w:val="24"/>
              <w:szCs w:val="52"/>
              <w:lang w:eastAsia="zh-CN"/>
            </w:rPr>
            <w:fldChar w:fldCharType="begin"/>
          </w:r>
          <w:r>
            <w:rPr>
              <w:rFonts w:hint="eastAsia" w:ascii="方正小标宋简体" w:hAnsi="方正小标宋简体" w:eastAsia="方正小标宋简体" w:cs="方正小标宋简体"/>
              <w:snapToGrid/>
              <w:kern w:val="2"/>
              <w:sz w:val="24"/>
              <w:szCs w:val="52"/>
              <w:lang w:eastAsia="zh-CN"/>
            </w:rPr>
            <w:instrText xml:space="preserve"> HYPERLINK \l _Toc27904 </w:instrText>
          </w:r>
          <w:r>
            <w:rPr>
              <w:rFonts w:hint="eastAsia" w:ascii="方正小标宋简体" w:hAnsi="方正小标宋简体" w:eastAsia="方正小标宋简体" w:cs="方正小标宋简体"/>
              <w:snapToGrid/>
              <w:kern w:val="2"/>
              <w:sz w:val="24"/>
              <w:szCs w:val="52"/>
              <w:lang w:eastAsia="zh-CN"/>
            </w:rPr>
            <w:fldChar w:fldCharType="separate"/>
          </w:r>
          <w:r>
            <w:rPr>
              <w:rFonts w:hint="eastAsia" w:ascii="楷体" w:hAnsi="楷体" w:eastAsia="楷体" w:cs="楷体"/>
              <w:snapToGrid/>
              <w:kern w:val="2"/>
              <w:sz w:val="24"/>
              <w:szCs w:val="40"/>
              <w:lang w:val="en-US" w:eastAsia="zh-CN"/>
            </w:rPr>
            <w:t>9.2 预案实施</w:t>
          </w:r>
          <w:r>
            <w:rPr>
              <w:sz w:val="24"/>
              <w:szCs w:val="24"/>
            </w:rPr>
            <w:tab/>
          </w:r>
          <w:r>
            <w:rPr>
              <w:sz w:val="24"/>
              <w:szCs w:val="24"/>
            </w:rPr>
            <w:fldChar w:fldCharType="begin"/>
          </w:r>
          <w:r>
            <w:rPr>
              <w:sz w:val="24"/>
              <w:szCs w:val="24"/>
            </w:rPr>
            <w:instrText xml:space="preserve"> PAGEREF _Toc27904 \h </w:instrText>
          </w:r>
          <w:r>
            <w:rPr>
              <w:sz w:val="24"/>
              <w:szCs w:val="24"/>
            </w:rPr>
            <w:fldChar w:fldCharType="separate"/>
          </w:r>
          <w:r>
            <w:rPr>
              <w:sz w:val="24"/>
              <w:szCs w:val="24"/>
            </w:rPr>
            <w:t>31</w:t>
          </w:r>
          <w:r>
            <w:rPr>
              <w:sz w:val="24"/>
              <w:szCs w:val="24"/>
            </w:rPr>
            <w:fldChar w:fldCharType="end"/>
          </w:r>
          <w:r>
            <w:rPr>
              <w:rFonts w:hint="eastAsia" w:ascii="方正小标宋简体" w:hAnsi="方正小标宋简体" w:eastAsia="方正小标宋简体" w:cs="方正小标宋简体"/>
              <w:snapToGrid/>
              <w:kern w:val="2"/>
              <w:sz w:val="24"/>
              <w:szCs w:val="52"/>
              <w:lang w:eastAsia="zh-CN"/>
            </w:rPr>
            <w:fldChar w:fldCharType="end"/>
          </w:r>
        </w:p>
        <w:p w14:paraId="316EFFBA">
          <w:pPr>
            <w:keepNext w:val="0"/>
            <w:keepLines w:val="0"/>
            <w:pageBreakBefore w:val="0"/>
            <w:widowControl w:val="0"/>
            <w:kinsoku/>
            <w:wordWrap/>
            <w:overflowPunct/>
            <w:topLinePunct w:val="0"/>
            <w:autoSpaceDE/>
            <w:autoSpaceDN/>
            <w:bidi w:val="0"/>
            <w:adjustRightInd w:val="0"/>
            <w:snapToGrid w:val="0"/>
            <w:spacing w:before="0" w:beforeLines="0" w:after="0" w:afterLines="0" w:line="560" w:lineRule="exact"/>
            <w:ind w:right="0" w:rightChars="0"/>
            <w:jc w:val="both"/>
            <w:textAlignment w:val="auto"/>
            <w:rPr>
              <w:rFonts w:hint="eastAsia" w:ascii="方正小标宋简体" w:hAnsi="方正小标宋简体" w:eastAsia="方正小标宋简体" w:cs="方正小标宋简体"/>
              <w:snapToGrid/>
              <w:kern w:val="2"/>
              <w:sz w:val="32"/>
              <w:szCs w:val="52"/>
              <w:lang w:eastAsia="zh-CN"/>
            </w:rPr>
            <w:sectPr>
              <w:footerReference r:id="rId10" w:type="default"/>
              <w:pgSz w:w="11906" w:h="16838"/>
              <w:pgMar w:top="1440" w:right="1800" w:bottom="1440" w:left="1800" w:header="851" w:footer="850" w:gutter="0"/>
              <w:pgNumType w:fmt="decimal" w:start="1"/>
              <w:cols w:space="425" w:num="1"/>
              <w:docGrid w:type="lines" w:linePitch="312" w:charSpace="0"/>
            </w:sectPr>
          </w:pPr>
        </w:p>
        <w:p w14:paraId="72A48B38">
          <w:pPr>
            <w:keepNext w:val="0"/>
            <w:keepLines w:val="0"/>
            <w:pageBreakBefore w:val="0"/>
            <w:widowControl w:val="0"/>
            <w:kinsoku/>
            <w:wordWrap/>
            <w:overflowPunct/>
            <w:topLinePunct w:val="0"/>
            <w:autoSpaceDE/>
            <w:autoSpaceDN/>
            <w:bidi w:val="0"/>
            <w:adjustRightInd w:val="0"/>
            <w:snapToGrid w:val="0"/>
            <w:spacing w:before="0" w:beforeLines="0" w:after="0" w:afterLines="0" w:line="560" w:lineRule="exact"/>
            <w:ind w:right="0" w:rightChars="0"/>
            <w:jc w:val="both"/>
            <w:textAlignment w:val="auto"/>
          </w:pPr>
          <w:r>
            <w:rPr>
              <w:rFonts w:hint="eastAsia" w:ascii="方正小标宋简体" w:hAnsi="方正小标宋简体" w:eastAsia="方正小标宋简体" w:cs="方正小标宋简体"/>
              <w:snapToGrid/>
              <w:kern w:val="2"/>
              <w:sz w:val="32"/>
              <w:szCs w:val="52"/>
              <w:lang w:eastAsia="zh-CN"/>
            </w:rPr>
            <w:fldChar w:fldCharType="end"/>
          </w:r>
          <w:bookmarkStart w:id="10" w:name="_Toc30586"/>
          <w:bookmarkStart w:id="11" w:name="_Toc15869"/>
        </w:p>
      </w:sdtContent>
    </w:sdt>
    <w:p w14:paraId="3CF40E31">
      <w:pPr>
        <w:keepNext w:val="0"/>
        <w:keepLines w:val="0"/>
        <w:pageBreakBefore w:val="0"/>
        <w:widowControl w:val="0"/>
        <w:numPr>
          <w:ilvl w:val="0"/>
          <w:numId w:val="0"/>
        </w:numPr>
        <w:kinsoku/>
        <w:wordWrap/>
        <w:bidi w:val="0"/>
        <w:adjustRightInd w:val="0"/>
        <w:snapToGrid w:val="0"/>
        <w:spacing w:line="560" w:lineRule="exact"/>
        <w:ind w:left="-10" w:leftChars="0" w:firstLine="608" w:firstLineChars="0"/>
        <w:jc w:val="both"/>
        <w:outlineLvl w:val="0"/>
        <w:rPr>
          <w:rFonts w:hint="eastAsia" w:ascii="黑体" w:hAnsi="黑体" w:eastAsia="黑体" w:cs="黑体"/>
          <w:b w:val="0"/>
          <w:bCs w:val="0"/>
          <w:sz w:val="32"/>
          <w:szCs w:val="32"/>
        </w:rPr>
      </w:pPr>
      <w:r>
        <w:rPr>
          <w:rFonts w:hint="eastAsia" w:ascii="黑体" w:hAnsi="黑体" w:eastAsia="黑体" w:cs="黑体"/>
          <w:b w:val="0"/>
          <w:bCs w:val="0"/>
          <w:snapToGrid w:val="0"/>
          <w:color w:val="000000"/>
          <w:kern w:val="0"/>
          <w:sz w:val="32"/>
          <w:szCs w:val="32"/>
          <w:lang w:val="en-US" w:eastAsia="en-US" w:bidi="ar-SA"/>
        </w:rPr>
        <w:t>1.</w:t>
      </w:r>
      <w:r>
        <w:rPr>
          <w:rFonts w:hint="eastAsia" w:ascii="黑体" w:hAnsi="黑体" w:eastAsia="黑体" w:cs="黑体"/>
          <w:b w:val="0"/>
          <w:bCs w:val="0"/>
          <w:spacing w:val="-8"/>
          <w:sz w:val="32"/>
          <w:szCs w:val="32"/>
        </w:rPr>
        <w:t>总则</w:t>
      </w:r>
      <w:bookmarkEnd w:id="10"/>
      <w:bookmarkEnd w:id="11"/>
    </w:p>
    <w:p w14:paraId="048A6A8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黑体" w:hAnsi="黑体" w:eastAsia="黑体" w:cs="黑体"/>
          <w:b w:val="0"/>
          <w:bCs w:val="0"/>
          <w:snapToGrid w:val="0"/>
          <w:color w:val="000000"/>
          <w:spacing w:val="-8"/>
          <w:kern w:val="0"/>
          <w:sz w:val="32"/>
          <w:szCs w:val="32"/>
          <w:lang w:val="en-US" w:eastAsia="zh-CN" w:bidi="ar-SA"/>
        </w:rPr>
      </w:pPr>
      <w:bookmarkStart w:id="12" w:name="_Toc20194"/>
      <w:bookmarkStart w:id="13" w:name="_Toc16615"/>
      <w:r>
        <w:rPr>
          <w:rFonts w:hint="eastAsia" w:ascii="楷体" w:hAnsi="楷体" w:eastAsia="楷体" w:cs="楷体"/>
          <w:snapToGrid/>
          <w:kern w:val="2"/>
          <w:sz w:val="32"/>
          <w:szCs w:val="32"/>
          <w:lang w:val="en-US" w:eastAsia="zh-CN"/>
        </w:rPr>
        <w:t>1.1 编制目的</w:t>
      </w:r>
      <w:bookmarkEnd w:id="12"/>
      <w:bookmarkEnd w:id="13"/>
    </w:p>
    <w:p w14:paraId="77D2706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为进一步健全全县危险化学品和烟花爆竹生产安全事故应急救援体系，规范危险化学品和烟花爆竹生产安全事故应急处置程序，提高危险化学品和烟花爆竹生产安全事故防范和应急救援能力，最大程度降低事故危害程度、人员伤亡和财产损失，维护人民群众生命安全和社会稳定。</w:t>
      </w:r>
    </w:p>
    <w:p w14:paraId="2248447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14" w:name="_Toc30119"/>
      <w:bookmarkStart w:id="15" w:name="_Toc30343"/>
      <w:r>
        <w:rPr>
          <w:rFonts w:hint="eastAsia" w:ascii="楷体" w:hAnsi="楷体" w:eastAsia="楷体" w:cs="楷体"/>
          <w:snapToGrid/>
          <w:kern w:val="2"/>
          <w:sz w:val="32"/>
          <w:szCs w:val="32"/>
          <w:lang w:val="en-US" w:eastAsia="zh-CN"/>
        </w:rPr>
        <w:t>1.2 编制依据</w:t>
      </w:r>
      <w:bookmarkEnd w:id="14"/>
      <w:bookmarkEnd w:id="15"/>
    </w:p>
    <w:p w14:paraId="676C125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《中华人民共和国突发事件应对法》《中华人民共和国安全生产法》《中华人民共和国危险化学品安全法》《中华人民共和国环境保护法》</w:t>
      </w:r>
      <w:bookmarkStart w:id="90" w:name="_GoBack"/>
      <w:bookmarkEnd w:id="90"/>
      <w:r>
        <w:rPr>
          <w:rFonts w:hint="eastAsia" w:ascii="Times New Roman" w:hAnsi="Times New Roman" w:eastAsia="仿宋_GB2312" w:cs="Times New Roman"/>
          <w:snapToGrid/>
          <w:kern w:val="2"/>
          <w:sz w:val="32"/>
          <w:szCs w:val="32"/>
          <w:lang w:val="en-US" w:eastAsia="zh-CN"/>
        </w:rPr>
        <w:t>《生产安全事故应急条例》《危险化学品安全管理条例》《烟花爆竹安全管理条例》《生产安全事故报告和调查处理条例》《突发事件应急预案管理办法》《生产安全事故应急预案管理办法》《生产安全事故信息报告和处置办法》《湖南省实施〈中华人民共和国突发事件应对法〉办法》《湖南省自然灾害和安全生产类突发事件应急处置暂行办法》《常德市危险化学品和烟花爆竹生产安全事故应急预案》《澧县突发事件总体应急预案》等。</w:t>
      </w:r>
    </w:p>
    <w:p w14:paraId="7251A6B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16" w:name="_Toc8543"/>
      <w:bookmarkStart w:id="17" w:name="_Toc4077"/>
      <w:r>
        <w:rPr>
          <w:rFonts w:hint="eastAsia" w:ascii="楷体" w:hAnsi="楷体" w:eastAsia="楷体" w:cs="楷体"/>
          <w:snapToGrid/>
          <w:kern w:val="2"/>
          <w:sz w:val="32"/>
          <w:szCs w:val="32"/>
          <w:lang w:val="en-US" w:eastAsia="zh-CN"/>
        </w:rPr>
        <w:t>1.3 适用范围</w:t>
      </w:r>
      <w:bookmarkEnd w:id="16"/>
      <w:bookmarkEnd w:id="17"/>
    </w:p>
    <w:p w14:paraId="73D468D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本预案适用于本县行政区域内，从事经营、储存、使用危险化学品的单位和烟花爆竹经营单位发生的一般安全事故的应急救援和较大及以上生产安全事故的先期处置工作。</w:t>
      </w:r>
    </w:p>
    <w:p w14:paraId="44F52F0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（1）本县行政区域内发生的一般以上危险化学品和烟花爆竹生产安全事故；</w:t>
      </w:r>
    </w:p>
    <w:p w14:paraId="721CECF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（2）超出镇（街道）、园区应急处置能力，或跨镇（街道）行政区域、跨多个领域（行业和部门）的危险化学品和烟花爆竹生产安全事故；</w:t>
      </w:r>
    </w:p>
    <w:p w14:paraId="77F64BA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（3）县人民政府认为需要县级组织应急处置的危险化学品和烟花爆竹生产安全事故。</w:t>
      </w:r>
    </w:p>
    <w:p w14:paraId="1F2BF25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（4）本预案也可指导相关单位应对危险化学品在运输（县内段）过程中发生的、需属地政府协调处置的泄漏、火灾、爆炸等生产安全事故。</w:t>
      </w:r>
    </w:p>
    <w:p w14:paraId="101FA5E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本预案不适用于城镇燃气、民用爆炸物品、放射性物品、核能物质以及国防科研生产相关的危险化学品事故应急处置，相关领域另有专项应急预案规定的，从其规定。</w:t>
      </w:r>
    </w:p>
    <w:p w14:paraId="69C15C2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18" w:name="_Toc1255"/>
      <w:bookmarkStart w:id="19" w:name="_Toc30978"/>
      <w:r>
        <w:rPr>
          <w:rFonts w:hint="eastAsia" w:ascii="楷体" w:hAnsi="楷体" w:eastAsia="楷体" w:cs="楷体"/>
          <w:snapToGrid/>
          <w:kern w:val="2"/>
          <w:sz w:val="32"/>
          <w:szCs w:val="32"/>
          <w:lang w:val="en-US" w:eastAsia="zh-CN"/>
        </w:rPr>
        <w:t>1.4 工作原则</w:t>
      </w:r>
      <w:bookmarkEnd w:id="18"/>
      <w:bookmarkEnd w:id="19"/>
    </w:p>
    <w:p w14:paraId="2E06AE5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（1）以人为本，安全第一。切实履行政府的安全监管职能，把保障群众生命和财产安全作为首要任务，最大程度地减少突发危险化学品和烟花爆竹生产安全事故及其造成的人员伤亡和危害。</w:t>
      </w:r>
    </w:p>
    <w:p w14:paraId="565E375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统一领导、分级负责。在县人民政府的统一领导下，坚持党政同责、一岗双责、齐抓共管、失职追责，各镇（街道）、县有关部门和企事业单位按照“三管三必须”要求，履行事故应急处置职责，完善应急预案，健全应急机制。</w:t>
      </w:r>
    </w:p>
    <w:p w14:paraId="7ADA57B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条块结合，属地为主。在生产安全事故发生后，事发地镇人民政府、街道办事处、村（社区）和企事业单位必须立即开展先期处置工作，果断、迅速地采取应对措施，对事故现场进行有效处置，全力控制事态发展，切断事故灾害链，防止次生、衍生和耦合事故（事件）发生。县人民政府、镇人民政府、街道办事处、村（社区）和企事业单位按照分级响应的原则及时启动相应的应急预案。</w:t>
      </w:r>
    </w:p>
    <w:p w14:paraId="4D106D8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4）科学施救，规范有序。充分发挥社会各方面特别是行业专家的作用，采用先进救援装备和技术，提高应急救援能力。参加应急救援的部门（单位）、组织和人员应按照各自职责，规范有序地开展应急活动，避免引起二次伤害。</w:t>
      </w:r>
    </w:p>
    <w:p w14:paraId="4491F3A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5）预防为主，平战结合。贯彻落实“安全第一，预防为主、综合治理”的方针，坚持事故应急与预防工作相结合。做好预防、预测、预警和预报工作，做好常态下的风险评估、物资储备、队伍建设、完善装备、预案演练等工作。加强宣传和培训教育工作，提高职工自救、互救水平和应对突发危险化学品和烟花爆竹生产安全事故的综合素质。</w:t>
      </w:r>
    </w:p>
    <w:p w14:paraId="7C03BAAE">
      <w:pPr>
        <w:keepNext w:val="0"/>
        <w:keepLines w:val="0"/>
        <w:pageBreakBefore w:val="0"/>
        <w:widowControl w:val="0"/>
        <w:numPr>
          <w:ilvl w:val="0"/>
          <w:numId w:val="0"/>
        </w:numPr>
        <w:kinsoku/>
        <w:wordWrap/>
        <w:overflowPunct w:val="0"/>
        <w:autoSpaceDE/>
        <w:autoSpaceDN/>
        <w:bidi w:val="0"/>
        <w:adjustRightInd w:val="0"/>
        <w:snapToGrid w:val="0"/>
        <w:spacing w:line="560" w:lineRule="exact"/>
        <w:ind w:left="-10" w:leftChars="0" w:firstLine="640" w:firstLineChars="0"/>
        <w:jc w:val="both"/>
        <w:textAlignment w:val="auto"/>
        <w:outlineLvl w:val="0"/>
        <w:rPr>
          <w:rFonts w:hint="eastAsia" w:ascii="黑体" w:hAnsi="黑体" w:eastAsia="黑体" w:cs="黑体"/>
          <w:snapToGrid/>
          <w:kern w:val="2"/>
          <w:sz w:val="32"/>
          <w:szCs w:val="32"/>
          <w:lang w:val="en-US" w:eastAsia="zh-CN" w:bidi="ar-SA"/>
        </w:rPr>
      </w:pPr>
      <w:bookmarkStart w:id="20" w:name="_Toc19429"/>
      <w:r>
        <w:rPr>
          <w:rFonts w:hint="eastAsia" w:ascii="黑体" w:hAnsi="黑体" w:eastAsia="黑体" w:cs="黑体"/>
          <w:snapToGrid/>
          <w:color w:val="000000"/>
          <w:kern w:val="2"/>
          <w:sz w:val="32"/>
          <w:szCs w:val="32"/>
          <w:lang w:val="en-US" w:eastAsia="zh-CN" w:bidi="ar-SA"/>
        </w:rPr>
        <w:t>2.</w:t>
      </w:r>
      <w:r>
        <w:rPr>
          <w:rFonts w:hint="eastAsia" w:ascii="黑体" w:hAnsi="黑体" w:eastAsia="黑体" w:cs="黑体"/>
          <w:snapToGrid/>
          <w:kern w:val="2"/>
          <w:sz w:val="32"/>
          <w:szCs w:val="32"/>
          <w:lang w:val="en-US" w:eastAsia="zh-CN" w:bidi="ar-SA"/>
        </w:rPr>
        <w:t>风险和资源现状分析</w:t>
      </w:r>
      <w:bookmarkEnd w:id="20"/>
    </w:p>
    <w:p w14:paraId="4BD35D90">
      <w:pPr>
        <w:keepNext w:val="0"/>
        <w:keepLines w:val="0"/>
        <w:pageBreakBefore w:val="0"/>
        <w:widowControl w:val="0"/>
        <w:numPr>
          <w:ilvl w:val="1"/>
          <w:numId w:val="0"/>
        </w:numPr>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21" w:name="_Toc2260"/>
      <w:r>
        <w:rPr>
          <w:rFonts w:hint="default" w:ascii="楷体" w:hAnsi="楷体" w:eastAsia="楷体" w:cs="楷体"/>
          <w:snapToGrid/>
          <w:color w:val="000000"/>
          <w:kern w:val="2"/>
          <w:sz w:val="32"/>
          <w:szCs w:val="32"/>
          <w:lang w:val="en-US" w:eastAsia="zh-CN" w:bidi="ar-SA"/>
        </w:rPr>
        <w:t>2.1</w:t>
      </w:r>
      <w:r>
        <w:rPr>
          <w:rFonts w:hint="eastAsia" w:ascii="楷体" w:hAnsi="楷体" w:eastAsia="楷体" w:cs="楷体"/>
          <w:snapToGrid/>
          <w:kern w:val="2"/>
          <w:sz w:val="32"/>
          <w:szCs w:val="32"/>
          <w:lang w:val="en-US" w:eastAsia="zh-CN"/>
        </w:rPr>
        <w:t>风险评估</w:t>
      </w:r>
      <w:bookmarkEnd w:id="21"/>
    </w:p>
    <w:p w14:paraId="77A944D7">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default"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本</w:t>
      </w:r>
      <w:r>
        <w:rPr>
          <w:rFonts w:hint="default" w:ascii="Times New Roman" w:hAnsi="Times New Roman" w:eastAsia="仿宋_GB2312" w:cs="Times New Roman"/>
          <w:snapToGrid/>
          <w:kern w:val="2"/>
          <w:sz w:val="32"/>
          <w:szCs w:val="32"/>
          <w:lang w:val="en-US" w:eastAsia="zh-CN"/>
        </w:rPr>
        <w:t>县危险化学品和烟花爆竹生产安全风险基于行业特性和管理现状，部分具体风险仍需重点关注。全县虽无危险化学品重大危险源，但局部火灾、泄漏等常规风险以及烟花爆竹的区域性、季节性风险不容忽视。危险化学品方面，全县79家加油站的卸油静电防控、4家甲醇企业的泄漏应急处置以及个别停产企业的设备维护是管控重点，部分企业防雷防静电设施检测逾期构成隐患。烟花爆竹方面，598家零售店中的码头铺、如东、复兴</w:t>
      </w:r>
      <w:r>
        <w:rPr>
          <w:rFonts w:hint="eastAsia" w:ascii="Times New Roman" w:hAnsi="Times New Roman" w:eastAsia="仿宋_GB2312" w:cs="Times New Roman"/>
          <w:snapToGrid/>
          <w:kern w:val="2"/>
          <w:sz w:val="32"/>
          <w:szCs w:val="32"/>
          <w:lang w:val="en-US" w:eastAsia="zh-CN"/>
        </w:rPr>
        <w:t>镇</w:t>
      </w:r>
      <w:r>
        <w:rPr>
          <w:rFonts w:hint="default" w:ascii="Times New Roman" w:hAnsi="Times New Roman" w:eastAsia="仿宋_GB2312" w:cs="Times New Roman"/>
          <w:snapToGrid/>
          <w:kern w:val="2"/>
          <w:sz w:val="32"/>
          <w:szCs w:val="32"/>
          <w:lang w:val="en-US" w:eastAsia="zh-CN"/>
        </w:rPr>
        <w:t>等中风险区域网点密集，春节、清明等旺季销售激增带来库存与人流风险；靠近林区、水域或交通干道的网点还面临山火、淹溺及交通影响等衍生风险。三是管理基础层面，从业人员安全意识、应急预案演练实效及跨部门协同机制有待加强。</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s="Times New Roman"/>
          <w:color w:val="auto"/>
          <w:sz w:val="32"/>
          <w:szCs w:val="32"/>
          <w:highlight w:val="none"/>
          <w:lang w:val="en-US" w:eastAsia="zh-CN"/>
        </w:rPr>
        <w:t>危险化学品和烟花爆竹生产安全事故</w:t>
      </w:r>
      <w:r>
        <w:rPr>
          <w:rFonts w:hint="eastAsia" w:ascii="Times New Roman" w:hAnsi="Times New Roman" w:eastAsia="仿宋_GB2312" w:cs="Times New Roman"/>
          <w:color w:val="auto"/>
          <w:sz w:val="32"/>
          <w:szCs w:val="32"/>
          <w:highlight w:val="none"/>
          <w:lang w:val="en-US" w:eastAsia="zh-CN"/>
        </w:rPr>
        <w:t>风险评估报告）</w:t>
      </w:r>
    </w:p>
    <w:p w14:paraId="3B7ABC70">
      <w:pPr>
        <w:keepNext w:val="0"/>
        <w:keepLines w:val="0"/>
        <w:pageBreakBefore w:val="0"/>
        <w:widowControl w:val="0"/>
        <w:numPr>
          <w:ilvl w:val="1"/>
          <w:numId w:val="0"/>
        </w:numPr>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22" w:name="_Toc20799"/>
      <w:r>
        <w:rPr>
          <w:rFonts w:hint="default" w:ascii="楷体" w:hAnsi="楷体" w:eastAsia="楷体" w:cs="楷体"/>
          <w:snapToGrid/>
          <w:color w:val="000000"/>
          <w:kern w:val="2"/>
          <w:sz w:val="32"/>
          <w:szCs w:val="32"/>
          <w:lang w:val="en-US" w:eastAsia="zh-CN" w:bidi="ar-SA"/>
        </w:rPr>
        <w:t>2.2</w:t>
      </w:r>
      <w:r>
        <w:rPr>
          <w:rFonts w:hint="eastAsia" w:ascii="楷体" w:hAnsi="楷体" w:eastAsia="楷体" w:cs="楷体"/>
          <w:snapToGrid/>
          <w:kern w:val="2"/>
          <w:sz w:val="32"/>
          <w:szCs w:val="32"/>
          <w:lang w:val="en-US" w:eastAsia="zh-CN"/>
        </w:rPr>
        <w:t>资源调查</w:t>
      </w:r>
      <w:bookmarkEnd w:id="22"/>
    </w:p>
    <w:p w14:paraId="478283A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lang w:val="en-US" w:eastAsia="zh-CN"/>
        </w:rPr>
        <w:t>针对危险化学品与烟花爆竹领域</w:t>
      </w:r>
      <w:r>
        <w:rPr>
          <w:rFonts w:hint="eastAsia" w:ascii="Times New Roman" w:hAnsi="Times New Roman" w:eastAsia="仿宋_GB2312" w:cs="Times New Roman"/>
          <w:snapToGrid/>
          <w:kern w:val="2"/>
          <w:sz w:val="32"/>
          <w:szCs w:val="32"/>
          <w:lang w:val="en-US" w:eastAsia="zh-CN"/>
        </w:rPr>
        <w:t>，本县</w:t>
      </w:r>
      <w:r>
        <w:rPr>
          <w:rFonts w:hint="default" w:ascii="Times New Roman" w:hAnsi="Times New Roman" w:eastAsia="仿宋_GB2312" w:cs="Times New Roman"/>
          <w:snapToGrid/>
          <w:kern w:val="2"/>
          <w:sz w:val="32"/>
          <w:szCs w:val="32"/>
          <w:lang w:val="en-US" w:eastAsia="zh-CN"/>
        </w:rPr>
        <w:t>已初步构建应急资源体系。全县现有县级专业救援队伍两支，企业应急队伍87支，社会救援组织3支；储备县级消防车辆9台、各类应急装备百余件，企业均配备了灭火器等基础物资；同时，拥有应急避难场所13处、各类医疗机构607家。然而，面对辖区内87家危化品企业及602家烟花爆竹经营点</w:t>
      </w:r>
      <w:r>
        <w:rPr>
          <w:rFonts w:hint="eastAsia" w:ascii="Times New Roman" w:hAnsi="Times New Roman" w:eastAsia="仿宋_GB2312" w:cs="Times New Roman"/>
          <w:snapToGrid/>
          <w:kern w:val="2"/>
          <w:sz w:val="32"/>
          <w:szCs w:val="32"/>
          <w:lang w:val="en-US" w:eastAsia="zh-CN"/>
        </w:rPr>
        <w:t>“</w:t>
      </w:r>
      <w:r>
        <w:rPr>
          <w:rFonts w:hint="default" w:ascii="Times New Roman" w:hAnsi="Times New Roman" w:eastAsia="仿宋_GB2312" w:cs="Times New Roman"/>
          <w:snapToGrid/>
          <w:kern w:val="2"/>
          <w:sz w:val="32"/>
          <w:szCs w:val="32"/>
          <w:lang w:val="en-US" w:eastAsia="zh-CN"/>
        </w:rPr>
        <w:t>点多面广</w:t>
      </w:r>
      <w:r>
        <w:rPr>
          <w:rFonts w:hint="eastAsia" w:ascii="Times New Roman" w:hAnsi="Times New Roman" w:eastAsia="仿宋_GB2312" w:cs="Times New Roman"/>
          <w:snapToGrid/>
          <w:kern w:val="2"/>
          <w:sz w:val="32"/>
          <w:szCs w:val="32"/>
          <w:lang w:val="en-US" w:eastAsia="zh-CN"/>
        </w:rPr>
        <w:t>”</w:t>
      </w:r>
      <w:r>
        <w:rPr>
          <w:rFonts w:hint="default" w:ascii="Times New Roman" w:hAnsi="Times New Roman" w:eastAsia="仿宋_GB2312" w:cs="Times New Roman"/>
          <w:snapToGrid/>
          <w:kern w:val="2"/>
          <w:sz w:val="32"/>
          <w:szCs w:val="32"/>
          <w:lang w:val="en-US" w:eastAsia="zh-CN"/>
        </w:rPr>
        <w:t>的风险布局，现有资源配置在均衡性与专业性上仍有提升空间</w:t>
      </w:r>
      <w:r>
        <w:rPr>
          <w:rFonts w:hint="eastAsia" w:ascii="Times New Roman" w:hAnsi="Times New Roman" w:eastAsia="仿宋_GB2312" w:cs="Times New Roman"/>
          <w:snapToGrid/>
          <w:kern w:val="2"/>
          <w:sz w:val="32"/>
          <w:szCs w:val="32"/>
          <w:lang w:val="en-US" w:eastAsia="zh-CN"/>
        </w:rPr>
        <w:t>。</w:t>
      </w:r>
      <w:r>
        <w:rPr>
          <w:rFonts w:hint="default" w:ascii="Times New Roman" w:hAnsi="Times New Roman" w:eastAsia="仿宋_GB2312" w:cs="Times New Roman"/>
          <w:snapToGrid/>
          <w:kern w:val="2"/>
          <w:sz w:val="32"/>
          <w:szCs w:val="32"/>
          <w:lang w:val="en-US" w:eastAsia="zh-CN"/>
        </w:rPr>
        <w:t>西北部镇等高风险区域的物资储备相对薄弱，针对危化品泄漏、特种火灾的专业处置装备尚有不足；企业应急队伍专业训练有待加强，跨部门协同与信息共享机制</w:t>
      </w:r>
      <w:r>
        <w:rPr>
          <w:rFonts w:hint="eastAsia" w:ascii="Times New Roman" w:hAnsi="Times New Roman" w:eastAsia="仿宋_GB2312" w:cs="Times New Roman"/>
          <w:snapToGrid/>
          <w:kern w:val="2"/>
          <w:sz w:val="32"/>
          <w:szCs w:val="32"/>
          <w:lang w:val="en-US" w:eastAsia="zh-CN"/>
        </w:rPr>
        <w:t>有待</w:t>
      </w:r>
      <w:r>
        <w:rPr>
          <w:rFonts w:hint="default" w:ascii="Times New Roman" w:hAnsi="Times New Roman" w:eastAsia="仿宋_GB2312" w:cs="Times New Roman"/>
          <w:snapToGrid/>
          <w:kern w:val="2"/>
          <w:sz w:val="32"/>
          <w:szCs w:val="32"/>
          <w:lang w:val="en-US" w:eastAsia="zh-CN"/>
        </w:rPr>
        <w:t>进一步优化；部分区域在监测预警、应急水源和救援通道等基础设施方面仍需完善。为更好地防范与应对可能发生的较大以上事故，仍需在资源的精准布局、队伍的专业化建设、机制的协同高效以及基础设施的配套完善等方面持续加强。</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s="Times New Roman"/>
          <w:color w:val="auto"/>
          <w:sz w:val="32"/>
          <w:szCs w:val="32"/>
          <w:highlight w:val="none"/>
          <w:lang w:val="en-US" w:eastAsia="zh-CN"/>
        </w:rPr>
        <w:t>危险化学品和烟花爆竹生产安全事故</w:t>
      </w:r>
      <w:r>
        <w:rPr>
          <w:rFonts w:hint="eastAsia" w:ascii="Times New Roman" w:hAnsi="Times New Roman" w:eastAsia="仿宋_GB2312" w:cs="Times New Roman"/>
          <w:color w:val="auto"/>
          <w:sz w:val="32"/>
          <w:szCs w:val="32"/>
          <w:highlight w:val="none"/>
          <w:lang w:val="en-US" w:eastAsia="zh-CN"/>
        </w:rPr>
        <w:t>资源调查报告）</w:t>
      </w:r>
    </w:p>
    <w:p w14:paraId="3E755409">
      <w:pPr>
        <w:keepNext w:val="0"/>
        <w:keepLines w:val="0"/>
        <w:pageBreakBefore w:val="0"/>
        <w:widowControl w:val="0"/>
        <w:numPr>
          <w:ilvl w:val="1"/>
          <w:numId w:val="0"/>
        </w:numPr>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23" w:name="_Toc7049"/>
      <w:r>
        <w:rPr>
          <w:rFonts w:hint="default" w:ascii="楷体" w:hAnsi="楷体" w:eastAsia="楷体" w:cs="楷体"/>
          <w:snapToGrid/>
          <w:color w:val="000000"/>
          <w:kern w:val="2"/>
          <w:sz w:val="32"/>
          <w:szCs w:val="32"/>
          <w:lang w:val="en-US" w:eastAsia="zh-CN" w:bidi="ar-SA"/>
        </w:rPr>
        <w:t>2.3</w:t>
      </w:r>
      <w:r>
        <w:rPr>
          <w:rFonts w:hint="eastAsia" w:ascii="楷体" w:hAnsi="楷体" w:eastAsia="楷体" w:cs="楷体"/>
          <w:snapToGrid/>
          <w:kern w:val="2"/>
          <w:sz w:val="32"/>
          <w:szCs w:val="32"/>
          <w:lang w:val="en-US" w:eastAsia="zh-CN"/>
        </w:rPr>
        <w:t>案例分析</w:t>
      </w:r>
      <w:bookmarkEnd w:id="23"/>
    </w:p>
    <w:p w14:paraId="3578D1A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default" w:ascii="Times New Roman" w:hAnsi="Times New Roman" w:eastAsia="仿宋_GB2312" w:cs="Times New Roman"/>
          <w:snapToGrid/>
          <w:kern w:val="2"/>
          <w:sz w:val="32"/>
          <w:szCs w:val="32"/>
          <w:lang w:val="en-US" w:eastAsia="zh-CN"/>
        </w:rPr>
      </w:pPr>
      <w:bookmarkStart w:id="24" w:name="_Toc26966"/>
      <w:r>
        <w:rPr>
          <w:rFonts w:hint="default" w:ascii="Times New Roman" w:hAnsi="Times New Roman" w:eastAsia="仿宋_GB2312" w:cs="Times New Roman"/>
          <w:snapToGrid/>
          <w:kern w:val="2"/>
          <w:sz w:val="32"/>
          <w:szCs w:val="32"/>
          <w:lang w:val="en-US" w:eastAsia="zh-CN"/>
        </w:rPr>
        <w:t>2025年6月16日，湖南省临澧县</w:t>
      </w:r>
      <w:r>
        <w:rPr>
          <w:rFonts w:hint="eastAsia" w:ascii="Times New Roman" w:hAnsi="Times New Roman" w:eastAsia="仿宋_GB2312" w:cs="Times New Roman"/>
          <w:snapToGrid/>
          <w:kern w:val="2"/>
          <w:sz w:val="32"/>
          <w:szCs w:val="32"/>
          <w:lang w:val="en-US" w:eastAsia="zh-CN"/>
        </w:rPr>
        <w:t>某</w:t>
      </w:r>
      <w:r>
        <w:rPr>
          <w:rFonts w:hint="default" w:ascii="Times New Roman" w:hAnsi="Times New Roman" w:eastAsia="仿宋_GB2312" w:cs="Times New Roman"/>
          <w:snapToGrid/>
          <w:kern w:val="2"/>
          <w:sz w:val="32"/>
          <w:szCs w:val="32"/>
          <w:lang w:val="en-US" w:eastAsia="zh-CN"/>
        </w:rPr>
        <w:t>烟花有限责任公司发生爆炸事故，造成9人死亡、26人受伤的严重后果，国务院安委办挂牌督办。事故调查表明，涉事企业虽持有有效安全生产许可证，但历史上存在改变工房用途、超量储存等多次违规记录，且事故恰逢高温季节烟花爆竹安全风险高发期。各级监管部</w:t>
      </w:r>
      <w:r>
        <w:rPr>
          <w:rFonts w:hint="eastAsia" w:ascii="Times New Roman" w:hAnsi="Times New Roman" w:eastAsia="仿宋_GB2312" w:cs="Times New Roman"/>
          <w:snapToGrid/>
          <w:kern w:val="2"/>
          <w:sz w:val="32"/>
          <w:szCs w:val="32"/>
          <w:lang w:val="en-US" w:eastAsia="zh-CN"/>
        </w:rPr>
        <w:t>门要</w:t>
      </w:r>
      <w:r>
        <w:rPr>
          <w:rFonts w:hint="default" w:ascii="Times New Roman" w:hAnsi="Times New Roman" w:eastAsia="仿宋_GB2312" w:cs="Times New Roman"/>
          <w:snapToGrid/>
          <w:kern w:val="2"/>
          <w:sz w:val="32"/>
          <w:szCs w:val="32"/>
          <w:lang w:val="en-US" w:eastAsia="zh-CN"/>
        </w:rPr>
        <w:t>以此为鉴，进一步强化季节性风险动态研判，对存在历史隐患的企业实施</w:t>
      </w:r>
      <w:r>
        <w:rPr>
          <w:rFonts w:hint="eastAsia" w:ascii="Times New Roman" w:hAnsi="Times New Roman" w:eastAsia="仿宋_GB2312" w:cs="Times New Roman"/>
          <w:snapToGrid/>
          <w:kern w:val="2"/>
          <w:sz w:val="32"/>
          <w:szCs w:val="32"/>
          <w:lang w:val="en-US" w:eastAsia="zh-CN"/>
        </w:rPr>
        <w:t>“</w:t>
      </w:r>
      <w:r>
        <w:rPr>
          <w:rFonts w:hint="default" w:ascii="Times New Roman" w:hAnsi="Times New Roman" w:eastAsia="仿宋_GB2312" w:cs="Times New Roman"/>
          <w:snapToGrid/>
          <w:kern w:val="2"/>
          <w:sz w:val="32"/>
          <w:szCs w:val="32"/>
          <w:lang w:val="en-US" w:eastAsia="zh-CN"/>
        </w:rPr>
        <w:t>清单式</w:t>
      </w:r>
      <w:r>
        <w:rPr>
          <w:rFonts w:hint="eastAsia" w:ascii="Times New Roman" w:hAnsi="Times New Roman" w:eastAsia="仿宋_GB2312" w:cs="Times New Roman"/>
          <w:snapToGrid/>
          <w:kern w:val="2"/>
          <w:sz w:val="32"/>
          <w:szCs w:val="32"/>
          <w:lang w:val="en-US" w:eastAsia="zh-CN"/>
        </w:rPr>
        <w:t>”</w:t>
      </w:r>
      <w:r>
        <w:rPr>
          <w:rFonts w:hint="default" w:ascii="Times New Roman" w:hAnsi="Times New Roman" w:eastAsia="仿宋_GB2312" w:cs="Times New Roman"/>
          <w:snapToGrid/>
          <w:kern w:val="2"/>
          <w:sz w:val="32"/>
          <w:szCs w:val="32"/>
          <w:lang w:val="en-US" w:eastAsia="zh-CN"/>
        </w:rPr>
        <w:t>跟踪管理，严格核查停产复产指令执行情况，杜绝违规突击生产；同步指导烟花爆竹企业立足实际完善应急预案，聚焦机械装药、药物储存等高危环节细化处置流程，结合山区地理特点合理增配应急水源与消防器材，定期开展含次生灾害防范、周边居民联动疏散的实战化演练</w:t>
      </w:r>
      <w:r>
        <w:rPr>
          <w:rFonts w:hint="eastAsia" w:ascii="Times New Roman" w:hAnsi="Times New Roman" w:eastAsia="仿宋_GB2312" w:cs="Times New Roman"/>
          <w:snapToGrid/>
          <w:kern w:val="2"/>
          <w:sz w:val="32"/>
          <w:szCs w:val="32"/>
          <w:lang w:val="en-US" w:eastAsia="zh-CN"/>
        </w:rPr>
        <w:t>。</w:t>
      </w:r>
    </w:p>
    <w:p w14:paraId="260F2C13">
      <w:pPr>
        <w:keepNext w:val="0"/>
        <w:keepLines w:val="0"/>
        <w:pageBreakBefore w:val="0"/>
        <w:widowControl w:val="0"/>
        <w:numPr>
          <w:ilvl w:val="0"/>
          <w:numId w:val="0"/>
        </w:numPr>
        <w:kinsoku/>
        <w:wordWrap/>
        <w:overflowPunct w:val="0"/>
        <w:autoSpaceDE/>
        <w:autoSpaceDN/>
        <w:bidi w:val="0"/>
        <w:adjustRightInd w:val="0"/>
        <w:snapToGrid w:val="0"/>
        <w:spacing w:line="560" w:lineRule="exact"/>
        <w:ind w:left="-10" w:leftChars="0" w:firstLine="640" w:firstLineChars="0"/>
        <w:jc w:val="both"/>
        <w:textAlignment w:val="auto"/>
        <w:outlineLvl w:val="0"/>
        <w:rPr>
          <w:rFonts w:hint="eastAsia" w:ascii="黑体" w:hAnsi="黑体" w:eastAsia="黑体" w:cs="黑体"/>
          <w:snapToGrid/>
          <w:kern w:val="2"/>
          <w:sz w:val="32"/>
          <w:szCs w:val="32"/>
          <w:lang w:val="en-US" w:eastAsia="zh-CN" w:bidi="ar-SA"/>
        </w:rPr>
      </w:pPr>
      <w:bookmarkStart w:id="25" w:name="_Toc11894"/>
      <w:r>
        <w:rPr>
          <w:rFonts w:hint="eastAsia" w:ascii="黑体" w:hAnsi="黑体" w:eastAsia="黑体" w:cs="黑体"/>
          <w:snapToGrid/>
          <w:color w:val="000000"/>
          <w:kern w:val="2"/>
          <w:sz w:val="32"/>
          <w:szCs w:val="32"/>
          <w:lang w:val="en-US" w:eastAsia="zh-CN" w:bidi="ar-SA"/>
        </w:rPr>
        <w:t>3.</w:t>
      </w:r>
      <w:r>
        <w:rPr>
          <w:rFonts w:hint="eastAsia" w:ascii="黑体" w:hAnsi="黑体" w:eastAsia="黑体" w:cs="黑体"/>
          <w:snapToGrid/>
          <w:kern w:val="2"/>
          <w:sz w:val="32"/>
          <w:szCs w:val="32"/>
          <w:lang w:val="en-US" w:eastAsia="zh-CN" w:bidi="ar-SA"/>
        </w:rPr>
        <w:t>应急指挥体系及职责</w:t>
      </w:r>
      <w:bookmarkEnd w:id="24"/>
      <w:bookmarkEnd w:id="25"/>
    </w:p>
    <w:p w14:paraId="1482C69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26" w:name="_Toc19200"/>
      <w:bookmarkStart w:id="27" w:name="_Toc4339"/>
      <w:r>
        <w:rPr>
          <w:rFonts w:hint="eastAsia" w:ascii="楷体" w:hAnsi="楷体" w:eastAsia="楷体" w:cs="楷体"/>
          <w:snapToGrid/>
          <w:kern w:val="2"/>
          <w:sz w:val="32"/>
          <w:szCs w:val="32"/>
          <w:lang w:val="en-US" w:eastAsia="zh-CN"/>
        </w:rPr>
        <w:t>3.1 应急指挥机构与职责</w:t>
      </w:r>
      <w:bookmarkEnd w:id="26"/>
      <w:bookmarkEnd w:id="27"/>
    </w:p>
    <w:p w14:paraId="0449D2B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3.1.1应急指挥机构</w:t>
      </w:r>
    </w:p>
    <w:p w14:paraId="02CC8D8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仿宋_GB2312" w:hAnsi="仿宋" w:eastAsia="仿宋_GB2312"/>
          <w:color w:val="000000"/>
          <w:sz w:val="32"/>
          <w:szCs w:val="32"/>
          <w:lang w:val="en-US" w:eastAsia="zh-CN"/>
        </w:rPr>
        <w:t>县应急和安全生产委员会（以下简称“县应安委”）分设县安全生产</w:t>
      </w:r>
      <w:r>
        <w:rPr>
          <w:rFonts w:hint="default" w:ascii="仿宋_GB2312" w:hAnsi="仿宋" w:eastAsia="仿宋_GB2312"/>
          <w:color w:val="000000"/>
          <w:sz w:val="32"/>
          <w:szCs w:val="32"/>
        </w:rPr>
        <w:t>委员会</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以下简称“县安委会”</w:t>
      </w:r>
      <w:r>
        <w:rPr>
          <w:rFonts w:hint="eastAsia" w:ascii="仿宋_GB2312" w:hAnsi="仿宋" w:eastAsia="仿宋_GB2312"/>
          <w:color w:val="000000"/>
          <w:sz w:val="32"/>
          <w:szCs w:val="32"/>
          <w:lang w:eastAsia="zh-CN"/>
        </w:rPr>
        <w:t>）</w:t>
      </w:r>
      <w:r>
        <w:rPr>
          <w:rFonts w:hint="eastAsia" w:ascii="仿宋_GB2312" w:hAnsi="仿宋_GB2312" w:eastAsia="仿宋_GB2312" w:cs="仿宋_GB2312"/>
          <w:sz w:val="32"/>
          <w:szCs w:val="32"/>
          <w:lang w:eastAsia="zh-CN"/>
        </w:rPr>
        <w:t>统筹负责全县危化</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lang w:eastAsia="zh-CN"/>
        </w:rPr>
        <w:t>烟花</w:t>
      </w:r>
      <w:r>
        <w:rPr>
          <w:rFonts w:hint="eastAsia" w:ascii="仿宋_GB2312" w:hAnsi="仿宋_GB2312" w:eastAsia="仿宋_GB2312" w:cs="仿宋_GB2312"/>
          <w:sz w:val="32"/>
          <w:szCs w:val="32"/>
          <w:lang w:val="en-US" w:eastAsia="zh-CN"/>
        </w:rPr>
        <w:t>爆竹行业</w:t>
      </w:r>
      <w:r>
        <w:rPr>
          <w:rFonts w:hint="eastAsia" w:ascii="仿宋_GB2312" w:hAnsi="仿宋_GB2312" w:eastAsia="仿宋_GB2312" w:cs="仿宋_GB2312"/>
          <w:sz w:val="32"/>
          <w:szCs w:val="32"/>
          <w:lang w:eastAsia="zh-CN"/>
        </w:rPr>
        <w:t>安全生产应急管理工作</w:t>
      </w:r>
      <w:r>
        <w:rPr>
          <w:rFonts w:hint="eastAsia" w:ascii="仿宋_GB2312" w:hAnsi="仿宋_GB2312" w:eastAsia="仿宋_GB2312" w:cs="仿宋_GB2312"/>
          <w:sz w:val="32"/>
          <w:szCs w:val="32"/>
          <w:lang w:val="en-US" w:eastAsia="zh-CN"/>
        </w:rPr>
        <w:t>。</w:t>
      </w:r>
      <w:r>
        <w:rPr>
          <w:rFonts w:hint="eastAsia" w:ascii="仿宋_GB2312" w:hAnsi="仿宋" w:eastAsia="仿宋_GB2312"/>
          <w:color w:val="000000"/>
          <w:sz w:val="32"/>
          <w:szCs w:val="32"/>
          <w:lang w:val="en-US" w:eastAsia="zh-CN"/>
        </w:rPr>
        <w:t>县安委会</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lang w:eastAsia="zh-CN"/>
        </w:rPr>
        <w:t>危化</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lang w:eastAsia="zh-CN"/>
        </w:rPr>
        <w:t>烟花</w:t>
      </w:r>
      <w:r>
        <w:rPr>
          <w:rFonts w:hint="eastAsia" w:ascii="仿宋_GB2312" w:hAnsi="仿宋_GB2312" w:eastAsia="仿宋_GB2312" w:cs="仿宋_GB2312"/>
          <w:sz w:val="32"/>
          <w:szCs w:val="32"/>
          <w:lang w:val="en-US" w:eastAsia="zh-CN"/>
        </w:rPr>
        <w:t>爆竹行业组织指挥体系中，</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lang w:val="en-US" w:eastAsia="zh-CN"/>
        </w:rPr>
        <w:t>县人民政府分管副</w:t>
      </w:r>
      <w:r>
        <w:rPr>
          <w:rFonts w:hint="eastAsia" w:ascii="仿宋_GB2312" w:hAnsi="仿宋_GB2312" w:eastAsia="仿宋_GB2312" w:cs="仿宋_GB2312"/>
          <w:sz w:val="32"/>
          <w:szCs w:val="32"/>
          <w:lang w:eastAsia="zh-CN"/>
        </w:rPr>
        <w:t>县长任</w:t>
      </w:r>
      <w:r>
        <w:rPr>
          <w:rFonts w:hint="eastAsia" w:ascii="仿宋_GB2312" w:hAnsi="仿宋_GB2312" w:eastAsia="仿宋_GB2312" w:cs="仿宋_GB2312"/>
          <w:sz w:val="32"/>
          <w:szCs w:val="32"/>
          <w:lang w:val="en-US" w:eastAsia="zh-CN"/>
        </w:rPr>
        <w:t>主任</w:t>
      </w:r>
      <w:r>
        <w:rPr>
          <w:rFonts w:hint="eastAsia" w:ascii="仿宋_GB2312" w:hAnsi="仿宋_GB2312" w:eastAsia="仿宋_GB2312" w:cs="仿宋_GB2312"/>
          <w:sz w:val="32"/>
          <w:szCs w:val="32"/>
          <w:lang w:eastAsia="zh-CN"/>
        </w:rPr>
        <w:t>，</w:t>
      </w:r>
      <w:r>
        <w:rPr>
          <w:rFonts w:hint="eastAsia" w:ascii="Times New Roman" w:hAnsi="Times New Roman" w:eastAsia="仿宋_GB2312" w:cs="Times New Roman"/>
          <w:snapToGrid/>
          <w:kern w:val="2"/>
          <w:sz w:val="32"/>
          <w:szCs w:val="32"/>
          <w:lang w:val="en-US" w:eastAsia="zh-CN"/>
        </w:rPr>
        <w:t>县人民政府办公室联系应急工作的副主任、县应急局局长任副</w:t>
      </w:r>
      <w:r>
        <w:rPr>
          <w:rFonts w:hint="eastAsia" w:ascii="仿宋_GB2312" w:hAnsi="仿宋_GB2312" w:eastAsia="仿宋_GB2312" w:cs="仿宋_GB2312"/>
          <w:sz w:val="32"/>
          <w:szCs w:val="32"/>
          <w:lang w:val="en-US" w:eastAsia="zh-CN"/>
        </w:rPr>
        <w:t>主任</w:t>
      </w:r>
      <w:r>
        <w:rPr>
          <w:rFonts w:hint="eastAsia" w:ascii="Times New Roman" w:hAnsi="Times New Roman" w:eastAsia="仿宋_GB2312" w:cs="Times New Roman"/>
          <w:snapToGrid/>
          <w:kern w:val="2"/>
          <w:sz w:val="32"/>
          <w:szCs w:val="32"/>
          <w:lang w:val="en-US" w:eastAsia="zh-CN"/>
        </w:rPr>
        <w:t>。县委宣传部（县网信办）、县政府办、县应急局、县发改局、县工信局、县民政局、县财政局、县人社局、县气象局、县住建局、县交通运输局、县农业农村局、县商务局、县卫健局、县市场监管局、县城管局、县融媒体中心、县总工会、县公安局、市生态环境局澧县分局、县消防救援局、镇（街道）等单位分管负责人为成员。</w:t>
      </w:r>
    </w:p>
    <w:p w14:paraId="502D904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县安委会下设办公室（</w:t>
      </w:r>
      <w:r>
        <w:rPr>
          <w:rFonts w:hint="eastAsia" w:ascii="仿宋_GB2312" w:hAnsi="仿宋" w:eastAsia="仿宋_GB2312"/>
          <w:color w:val="000000"/>
          <w:sz w:val="32"/>
          <w:szCs w:val="32"/>
          <w:lang w:val="en-US" w:eastAsia="zh-CN"/>
        </w:rPr>
        <w:t>以下简称“县安委办”</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办公</w:t>
      </w:r>
      <w:r>
        <w:rPr>
          <w:rFonts w:hint="eastAsia" w:ascii="仿宋_GB2312" w:hAnsi="仿宋_GB2312" w:eastAsia="仿宋_GB2312" w:cs="仿宋_GB2312"/>
          <w:sz w:val="32"/>
          <w:szCs w:val="32"/>
          <w:lang w:eastAsia="zh-CN"/>
        </w:rPr>
        <w:t>室设在县应急局，由县应急局分管副局长兼任办公室主任。</w:t>
      </w:r>
      <w:r>
        <w:rPr>
          <w:rFonts w:hint="eastAsia" w:ascii="仿宋_GB2312" w:hAnsi="仿宋_GB2312" w:eastAsia="仿宋_GB2312" w:cs="仿宋_GB2312"/>
          <w:sz w:val="32"/>
          <w:szCs w:val="32"/>
          <w:lang w:val="en-US" w:eastAsia="zh-CN"/>
        </w:rPr>
        <w:t>另设立的</w:t>
      </w:r>
      <w:r>
        <w:rPr>
          <w:rFonts w:hint="default" w:ascii="Times New Roman" w:hAnsi="Times New Roman" w:eastAsia="仿宋_GB2312" w:cs="Times New Roman"/>
          <w:color w:val="auto"/>
          <w:spacing w:val="0"/>
          <w:sz w:val="32"/>
          <w:szCs w:val="32"/>
          <w:lang w:val="en-US" w:eastAsia="zh-CN"/>
        </w:rPr>
        <w:t>县</w:t>
      </w:r>
      <w:r>
        <w:rPr>
          <w:rFonts w:hint="default" w:ascii="Times New Roman" w:hAnsi="Times New Roman" w:eastAsia="仿宋_GB2312" w:cs="Times New Roman"/>
          <w:color w:val="auto"/>
          <w:spacing w:val="0"/>
          <w:sz w:val="32"/>
          <w:szCs w:val="32"/>
        </w:rPr>
        <w:t>工矿和危化烟花安全生产专业委员会</w:t>
      </w:r>
      <w:r>
        <w:rPr>
          <w:rFonts w:hint="eastAsia" w:ascii="仿宋_GB2312" w:hAnsi="仿宋_GB2312" w:eastAsia="仿宋_GB2312" w:cs="仿宋_GB2312"/>
          <w:sz w:val="32"/>
          <w:szCs w:val="32"/>
          <w:lang w:val="en-US" w:eastAsia="zh-CN"/>
        </w:rPr>
        <w:t>按相关规定执行。</w:t>
      </w:r>
    </w:p>
    <w:p w14:paraId="6F9FBA3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3.1.2县安委会职责</w:t>
      </w:r>
    </w:p>
    <w:p w14:paraId="3B3C2E9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统一指挥全县危险化学品和烟花爆竹生产安全事故应急救援工作；贯彻落实上级党委政府、县应安委的指示、批示精神，执行救援指令；负责发布和解除应急响应；组建应急救援现场指挥机构（以下简称现场指挥部），确定应急救援实施方案，划定现场管控区域范围，组织实施现场管控，指挥调动应急救援队伍实施救援行动；指挥调度应急救援物资、装备、交通工具以及相关设施设备，指挥调度、协调有关部门和单位参加危险化学品和烟花爆竹生产安全事故应急救援工作；汇报和通报事故有关情况，及时向县委、县政府报告事故和应急救援进展情况，必要时提请县委、县政府协调其他县（市）提供支援或报请常德市人民政府启动市级应急预案开展应急救援处置。</w:t>
      </w:r>
    </w:p>
    <w:p w14:paraId="0EEC019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default"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3.1.3县安委办职责</w:t>
      </w:r>
    </w:p>
    <w:p w14:paraId="38C064D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担县安委会日常工作；负责危险化学品和烟花爆竹生产安全事故信息收集、汇总及报告工作；及时向县安委会提出启动应急响应建议和应急处置方案；承担日常值守，及时收集、研判、报告危险化学品和烟花爆竹生产安全事故信息和预警信息，及时向有关部门单位发出预警信息；统筹全县危险化学品和烟花爆竹应急预案体系建设，组织开展应急培训、演练工作；组织、协调开展事故救援、抢险及相关的通信、交通、物资保障等工作。</w:t>
      </w:r>
    </w:p>
    <w:p w14:paraId="3DB1735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3.1.4成员单位职责</w:t>
      </w:r>
    </w:p>
    <w:p w14:paraId="527EE31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县委宣传部（县网信办）：负责指导协调事故信息发布和舆情引导等工作，加强互联网信息管理，指导协调生产安全事故中网络舆情监测与引导工作。</w:t>
      </w:r>
    </w:p>
    <w:p w14:paraId="57DFE8E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县政府办：负责综合协调危险化学品和烟花爆竹事故应急处置工作。</w:t>
      </w:r>
    </w:p>
    <w:p w14:paraId="741BB63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应急局：负责县安委办的日常工作；负责组织协调危险化学品、烟花爆竹领域生产安全事故应急救援工作；负责事故应急救援的联络和协调，及时向县人民政府和市应急管理局报告事故和应急救援情况；组织协调重大危险源的普查，为应急救援提供详细情况；负责督促、指导各镇（街道）及各危险化学品和烟花爆竹从业单位制定应急救援预案并进行备案和演练；负责建立生产安全事故应急救援专家组，组织专家开展应急救援咨询服务工作；统计储备应急处置所需物资、装备等；协调有关部门落实社会救援力量和物资，协助灾后重建，配合做好善后处置工作。</w:t>
      </w:r>
    </w:p>
    <w:p w14:paraId="01D66A0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县发改局：负责全县油气长输管道的应急救援工作；负责协调危险化学品和烟花爆竹事故应急处置中的能源、物资保障。</w:t>
      </w:r>
    </w:p>
    <w:p w14:paraId="45046D6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县工信局：负责组织协调供电、通信等部门单位做好应急救援所需的供电、通信等保障工作。</w:t>
      </w:r>
    </w:p>
    <w:p w14:paraId="3C0DE95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县民政局：负责协调事发地做好突发事件紧急转移安置期间人民群众无能力克服生活困难的救助工作。</w:t>
      </w:r>
    </w:p>
    <w:p w14:paraId="138FD04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县财政局：负责保障应由县财政承担的应急所需资金，并对应急资金的安排、使用、管理进行监督。</w:t>
      </w:r>
    </w:p>
    <w:p w14:paraId="1EE400E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人社局：督促危险化学品和烟花爆竹生产经营单位参加工伤保险，负责危险化学品和烟花爆竹生产经营单位劳动合同实施情况的监管工作，督促用人单位依法签订劳动合同；负责对有关伤亡人员的医疗救治、抚恤等提供资金保障；配合做好灾害事故善后工作。</w:t>
      </w:r>
    </w:p>
    <w:p w14:paraId="19CC76E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县气象局：</w:t>
      </w:r>
      <w:r>
        <w:rPr>
          <w:rFonts w:hint="default" w:ascii="Times New Roman" w:hAnsi="Times New Roman" w:eastAsia="仿宋_GB2312" w:cs="Times New Roman"/>
          <w:snapToGrid/>
          <w:kern w:val="2"/>
          <w:sz w:val="32"/>
          <w:szCs w:val="32"/>
          <w:lang w:val="en-US" w:eastAsia="zh-CN"/>
        </w:rPr>
        <w:t>负责提供事故现场及周边区域的气象监测和预报预警信息，特别是风向、风速、降水等可能影响危化品扩散和救援作业的气象因素。</w:t>
      </w:r>
    </w:p>
    <w:p w14:paraId="196ED6B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住建局：配合做好因事故造成房屋建筑受损的应急处置工作；负责提供事故可能涉及的供气基础设施情况，并做好应急处置工作；负责协调调集建筑行业起重机、挖掘机等设备参与事故救援；协助提供相关工程技术资料。</w:t>
      </w:r>
    </w:p>
    <w:p w14:paraId="45D9653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highlight w:val="none"/>
          <w:lang w:val="en-US" w:eastAsia="zh-CN"/>
        </w:rPr>
      </w:pPr>
      <w:r>
        <w:rPr>
          <w:rFonts w:hint="eastAsia" w:ascii="Times New Roman" w:hAnsi="Times New Roman" w:eastAsia="仿宋_GB2312" w:cs="Times New Roman"/>
          <w:snapToGrid/>
          <w:kern w:val="2"/>
          <w:sz w:val="32"/>
          <w:szCs w:val="32"/>
          <w:lang w:val="en-US" w:eastAsia="zh-CN"/>
        </w:rPr>
        <w:t>县交通运输局：负责统一调集、协调运输企业落实道路运输车辆，为应急救援人员和物资提供运输保障，牵头负责处置危险化学品和烟花爆竹的道路、水路运输事故及路网调度工作。</w:t>
      </w:r>
    </w:p>
    <w:p w14:paraId="1531BF5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highlight w:val="none"/>
          <w:lang w:val="en-US" w:eastAsia="zh-CN"/>
        </w:rPr>
      </w:pPr>
      <w:r>
        <w:rPr>
          <w:rFonts w:hint="eastAsia" w:ascii="Times New Roman" w:hAnsi="Times New Roman" w:eastAsia="仿宋_GB2312" w:cs="Times New Roman"/>
          <w:snapToGrid/>
          <w:kern w:val="2"/>
          <w:sz w:val="32"/>
          <w:szCs w:val="32"/>
          <w:highlight w:val="none"/>
          <w:lang w:val="en-US" w:eastAsia="zh-CN"/>
        </w:rPr>
        <w:t>县农业农村局：负责本行业领域的危险化学品生产安全事故应急救援工作，协助参与其他危险化学品事故救援工作。</w:t>
      </w:r>
    </w:p>
    <w:p w14:paraId="16A77FB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县商务局：</w:t>
      </w:r>
      <w:r>
        <w:rPr>
          <w:rFonts w:hint="eastAsia" w:ascii="Times New Roman" w:hAnsi="Times New Roman" w:eastAsia="仿宋_GB2312" w:cs="Times New Roman"/>
          <w:sz w:val="32"/>
          <w:szCs w:val="32"/>
          <w:lang w:eastAsia="zh-CN"/>
        </w:rPr>
        <w:t>协调应急物资</w:t>
      </w:r>
      <w:r>
        <w:rPr>
          <w:rFonts w:hint="eastAsia" w:ascii="Times New Roman" w:hAnsi="Times New Roman" w:eastAsia="仿宋_GB2312" w:cs="Times New Roman"/>
          <w:sz w:val="32"/>
          <w:szCs w:val="32"/>
          <w:lang w:val="en-US" w:eastAsia="zh-CN"/>
        </w:rPr>
        <w:t>供给和生活必需品的供应。</w:t>
      </w:r>
    </w:p>
    <w:p w14:paraId="5D3426C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卫健局：负责组织协调各级卫生部门开展医疗卫生救援工作，负责事故现场伤员的救治和紧急处理，并将伤员迅速送往医院救治，全力抢救伤员，减少人员伤亡；对可能发生疫情、染毒的事故现场进行防疫、消毒处置；做好可能发生的化学中毒等特定伤情的医疗资源储备。</w:t>
      </w:r>
    </w:p>
    <w:p w14:paraId="3490A23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市场监管局：负责组织、协调事故现场有关特种设备的应急处置工作，提出事故现场特种设备的处置方案；参与涉及特种设备的危险化学品事故抢险救援、评估和事故调查处理工作；指导协调事故涉及产品的质量检测、特种设备检测。</w:t>
      </w:r>
    </w:p>
    <w:p w14:paraId="72AAA96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县城管局：负责恢复和维护安全事故发生地的城市管理秩序；督促指导环卫部门及时做好事故现场和周边环境卫生的清理与维护；协助做好事故发生地现场管控、交通疏导、安全警戒和维护。</w:t>
      </w:r>
    </w:p>
    <w:p w14:paraId="3D126FE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县融媒体中心：通过所属广播、电视、网站、新媒体等全媒体平台，及时、准确、客观、全面地发布事故信息、救援进展和公众防范指南。</w:t>
      </w:r>
    </w:p>
    <w:p w14:paraId="5E9A239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县总工会：负责事故中伤亡人员家属安抚工作；协助做好善后处理工作；依法参与事故调查。</w:t>
      </w:r>
    </w:p>
    <w:p w14:paraId="3A068CD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公安局：参与危险化学品道路交通事故应急救援，参与危险化学品事故现场调查工作；对事故现场实施警戒，维护现场秩序；负责核实事故伤亡人员的姓名、身份；负责事故犯罪的侦查、直接责任人的监控和逃逸人员的追捕；负责组织实施事故现场及周边道路交通管制工作，禁止无关车辆进入危险区域，保障救援道路的畅通；配合做好事故可能危及区域内的人员疏散撤离工作。</w:t>
      </w:r>
    </w:p>
    <w:p w14:paraId="75862C4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市生态环境局澧县分局：负责组织实施事故现场的环境污染和生态破坏的监测与危害控制方案；向县应急指挥部或现场指挥部提供事故处置、现场洗消和场地清理的建议措施。</w:t>
      </w:r>
    </w:p>
    <w:p w14:paraId="5780B57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县消防救援局：负责事故遇险人员的搜救，危险化学品和烟花爆竹火灾灭火、应急处置、危险源控制等工作。</w:t>
      </w:r>
    </w:p>
    <w:p w14:paraId="79449AD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镇（街道）：开展辖区内危险化学品生产安全事故的先期处置工作；协助县安委会实施事故现场控制、人员疏散安置、治安秩序维护、应急救援保障等各项应急处置工作；建立辖区危险化学品和烟花爆竹风险单位台账，加强日常安全巡查；参与属地企业危险化学品事故调查处理，配合做好事故遇难人员家属及受伤人员的安抚和善后工作。</w:t>
      </w:r>
    </w:p>
    <w:p w14:paraId="0CB85C5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其他有关部门根据法定职责和救援需要协助开展应急救援工作。</w:t>
      </w:r>
    </w:p>
    <w:p w14:paraId="07F623F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28" w:name="_Toc5026"/>
      <w:bookmarkStart w:id="29" w:name="_Toc13667"/>
      <w:r>
        <w:rPr>
          <w:rFonts w:hint="eastAsia" w:ascii="楷体" w:hAnsi="楷体" w:eastAsia="楷体" w:cs="楷体"/>
          <w:snapToGrid/>
          <w:kern w:val="2"/>
          <w:sz w:val="32"/>
          <w:szCs w:val="32"/>
          <w:lang w:val="en-US" w:eastAsia="zh-CN"/>
        </w:rPr>
        <w:t>3.2 现场指挥部</w:t>
      </w:r>
      <w:bookmarkEnd w:id="28"/>
      <w:bookmarkEnd w:id="29"/>
    </w:p>
    <w:p w14:paraId="45814AB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危险化学品和烟花爆竹生产安全事故发生后，事发单位按照应急预案规定，立即成立以主要负责人或其授权人为指挥长的临时现场指挥部，积极开展抢险救援、事故报告、现场保护、险情控制等工作，严防事故扩大；事发地镇（街道）接到报告后，应立即赶赴现场，指导协调现场应急处置工作，必要时接管现场指挥权；县安委会接到事故报告后，应根据事故等级、现场处置难度，指定现场指挥部指挥长，指挥长应立即赶赴事故现场，接管现场指挥部指挥权，实行指挥长负责制，对现场应急处置工作全权负责。</w:t>
      </w:r>
    </w:p>
    <w:p w14:paraId="2EEBB1F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现场指挥部应明确专人专门负责现场安全监测、风险研判，发现爆炸、中毒、坍塌等危及救援人员生命安全的紧急险情时，有权立即下达人员撤离指令，严防次生事故发生。现场指挥部应设立在事故现场上风向或侧风向的安全区域，设置明显规范的标识，确保指挥安全、联络畅通。</w:t>
      </w:r>
    </w:p>
    <w:p w14:paraId="6C9647B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3.2.1现场指挥部职责</w:t>
      </w:r>
    </w:p>
    <w:p w14:paraId="7602592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 xml:space="preserve">现场指挥部全权负责事故的应急救援工作，主要承担制定和组织实施事故应急救援处置方案，指挥协调应急救援力量开展应急救援，及时收集、汇总并向县指挥部报告事故发展态势及救援情况，落实县指挥部交办的其他事项等工作。  </w:t>
      </w:r>
    </w:p>
    <w:p w14:paraId="4BBD408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3.2.2应急救援工作组及职责</w:t>
      </w:r>
    </w:p>
    <w:p w14:paraId="411D893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现场指挥部根据工作需要可下设若干个应急救援工作组，具体如下。</w:t>
      </w:r>
    </w:p>
    <w:p w14:paraId="280F33A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综合协调组。由县应急局牵头，县政府办、相关成员单位参加。负责统筹协调现场各工作组及应急救援力量，保障现场指挥部高效运转；协调应急队伍、装备和资源的统一调度与配合；跟踪汇总事故动态、灾情信息和处置进展，并按规定报送重要情况；督促落实指挥部各项决策和工作部署；协调解决应急处置中的重大问题。</w:t>
      </w:r>
    </w:p>
    <w:p w14:paraId="28B321D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抢险救援组。由县消防救援局牵头，县应急局、县公安局、市生态环境局澧县分局、相关专业救援队伍及技术单位参加。负责事故现场火灾扑救、设备冷却、危险源控制、隔爆防爆和人员搜救；实施工程抢险与加固，隔离事故系统，防止次生衍生事故发生；组织开展被污染区域的洗消和现场清理工作；为事故调查收集相关证据与资料。必要时，在专家指导下，采取关闭阀门、堵漏、倒罐等工艺措施处置。</w:t>
      </w:r>
    </w:p>
    <w:p w14:paraId="46D5506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医疗救护组。由县卫健局牵头，相关医疗机构、疾控中心和心理援助机构参加。负责组织医疗力量开展现场伤员抢救、转运和救治，设立临时医疗点并统计伤亡情况；统筹调集药品、医疗器械等物资；对接触有毒有害物质的救援人员及群众进行健康监测；做好现场卫生防疫、健康监测和心理危机干预，防范次生公共卫生问题。</w:t>
      </w:r>
    </w:p>
    <w:p w14:paraId="5462F0A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4）技术保障组。由市生态环境局澧县分局牵头，县应急局、县气象局、相关行业专家及技术单位参加。负责对事故现场及周边大气、水体、土壤开展实时监测，确定污染范围并评估污染程度；提供应急处置与污染控制的技术方案；跟踪监测事故后期环境状态，制定并组织实施生态修复计划。</w:t>
      </w:r>
    </w:p>
    <w:p w14:paraId="797541C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5）后勤保障组。由县发改局牵头，县工信局、县交通运输局等单位参加。负责应急救援物资、装备、通信、电力、供水和运输工具的统筹、筹集、调配与运送；保障应急人员和受灾群众基本生活用品供应；协调恢复受损基础设施。</w:t>
      </w:r>
    </w:p>
    <w:p w14:paraId="208BDAB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6）社会治安组。由县公安局牵头，属地政府及相关单位参加。负责事故现场及周边治安秩序维护、交通疏导与安全警戒；实施区域管控，疏散救助群众，核查伤亡和失踪人员；开辟应急救援通道，保障人员、车辆、物资畅通；防控和查处散布谣言、盗窃抢夺等违法犯罪行为。</w:t>
      </w:r>
    </w:p>
    <w:p w14:paraId="77BB908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7）舆情信息组。由县委宣传部（县网信办）牵头，县公安局、县融媒体中心及相关单位参加。负责事故信息发布、新闻宣传和媒体接待管理；监测、研判和引导舆情，及时澄清不实信息；组织记者有序采访，适时发布权威消息；做好公众风险沟通和安全提示。</w:t>
      </w:r>
    </w:p>
    <w:p w14:paraId="6EA86D9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8）善后处置组。由县应急局牵头，县民政局、县人社局、县财政局、保险公司及属地政府参加。负责组织受影响群众的紧急安置和基本生活保障；协调开展伤亡人员善后、工伤认定、保险理赔和经济补偿；组织事故调查评估和灾情核查；协助企业恢复生产和重建。</w:t>
      </w:r>
    </w:p>
    <w:p w14:paraId="33CCB14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黑体" w:hAnsi="黑体" w:eastAsia="黑体" w:cs="黑体"/>
          <w:snapToGrid/>
          <w:kern w:val="2"/>
          <w:sz w:val="32"/>
          <w:szCs w:val="32"/>
          <w:lang w:val="en-US" w:eastAsia="zh-CN" w:bidi="ar-SA"/>
        </w:rPr>
      </w:pPr>
      <w:bookmarkStart w:id="30" w:name="_Toc13925"/>
      <w:bookmarkStart w:id="31" w:name="_Toc4078"/>
      <w:r>
        <w:rPr>
          <w:rFonts w:hint="eastAsia" w:ascii="黑体" w:hAnsi="黑体" w:eastAsia="黑体" w:cs="黑体"/>
          <w:snapToGrid/>
          <w:kern w:val="2"/>
          <w:sz w:val="32"/>
          <w:szCs w:val="32"/>
          <w:lang w:val="en-US" w:eastAsia="zh-CN" w:bidi="ar-SA"/>
        </w:rPr>
        <w:t>4.预防与监测预警</w:t>
      </w:r>
      <w:bookmarkEnd w:id="30"/>
      <w:bookmarkEnd w:id="31"/>
      <w:r>
        <w:rPr>
          <w:rFonts w:hint="eastAsia" w:ascii="黑体" w:hAnsi="黑体" w:eastAsia="黑体" w:cs="黑体"/>
          <w:snapToGrid/>
          <w:kern w:val="2"/>
          <w:sz w:val="32"/>
          <w:szCs w:val="32"/>
          <w:lang w:val="en-US" w:eastAsia="zh-CN" w:bidi="ar-SA"/>
        </w:rPr>
        <w:t xml:space="preserve"> </w:t>
      </w:r>
    </w:p>
    <w:p w14:paraId="77117FA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default" w:ascii="楷体" w:hAnsi="楷体" w:eastAsia="楷体" w:cs="楷体"/>
          <w:snapToGrid/>
          <w:kern w:val="2"/>
          <w:sz w:val="32"/>
          <w:szCs w:val="32"/>
          <w:lang w:val="en-US" w:eastAsia="zh-CN"/>
        </w:rPr>
      </w:pPr>
      <w:bookmarkStart w:id="32" w:name="_Toc31535"/>
      <w:bookmarkStart w:id="33" w:name="_Toc12883"/>
      <w:r>
        <w:rPr>
          <w:rFonts w:hint="eastAsia" w:ascii="楷体" w:hAnsi="楷体" w:eastAsia="楷体" w:cs="楷体"/>
          <w:snapToGrid/>
          <w:kern w:val="2"/>
          <w:sz w:val="32"/>
          <w:szCs w:val="32"/>
          <w:lang w:val="en-US" w:eastAsia="zh-CN"/>
        </w:rPr>
        <w:t>4.1 预防</w:t>
      </w:r>
      <w:bookmarkEnd w:id="32"/>
      <w:bookmarkEnd w:id="33"/>
    </w:p>
    <w:p w14:paraId="3113283E">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规范危险化学品和烟花爆竹行业布局。根据本县的实际情况，充分考虑土地、人口、资源、环境等因素，严格控制高风险项目准入，引导高风险企业逐步进入化工园区或集中区。统筹加强城市规划与危险化学品、烟花爆竹产业发展的衔接，科学规避危险事故风险，努力提高城市安全水平。</w:t>
      </w:r>
    </w:p>
    <w:p w14:paraId="57495B7E">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各部门、各单位应坚持“预防为主、预防与应急相结合”的原则，落实行业监管和属地管理责任，重点排查危险化学品和烟花爆竹生产、经营、储存、使用等环节的风险点和危险源，建立完善危险化学品和烟花爆竹风险点和危险源数据库，督促企业常态化开展风险辨识管控和隐患排查治理。</w:t>
      </w:r>
    </w:p>
    <w:p w14:paraId="715E4F36">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危险化学品生产、经营、储存、使用单位和烟花爆竹单位应按照有关规定制定本单位危险化学品和烟花爆竹事故应急预案，确保企业应急预案与各级政府及主管部门相关预案衔接畅通，提高应急预案的科学性、针对性、实用性和可操作性，</w:t>
      </w:r>
      <w:r>
        <w:rPr>
          <w:rFonts w:hint="default" w:ascii="Times New Roman" w:hAnsi="Times New Roman" w:eastAsia="仿宋_GB2312" w:cs="Times New Roman"/>
          <w:snapToGrid/>
          <w:kern w:val="2"/>
          <w:sz w:val="32"/>
          <w:szCs w:val="32"/>
          <w:lang w:val="en-US" w:eastAsia="zh-CN"/>
        </w:rPr>
        <w:t>并按规定进行备案、演练和修订。</w:t>
      </w:r>
    </w:p>
    <w:p w14:paraId="129660A3">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（4）对生产经营场所及周边环境开展隐患排查，及时采取有效措施消除事故隐患，防止事故发生；加强应急救援力量建设，配备应急救援装备和器材，并定期组织开展危险化学品和烟花爆竹应急演练。</w:t>
      </w:r>
    </w:p>
    <w:p w14:paraId="14C7581B">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5）加强危险化学品重大危险源和烟花爆竹储存场所风险管控工作。针对辖区内危险化学品重大危险源和烟花爆竹储存场所，采取企业日常安全检查、隐患排查治理，视频监控、自动控制、规范作业场所安全标志标识和县应急局定期督促检查的方式实行监督管理等措施，预防事故发生。</w:t>
      </w:r>
    </w:p>
    <w:p w14:paraId="26376942">
      <w:pPr>
        <w:keepNext w:val="0"/>
        <w:keepLines w:val="0"/>
        <w:pageBreakBefore w:val="0"/>
        <w:widowControl w:val="0"/>
        <w:numPr>
          <w:ilvl w:val="0"/>
          <w:numId w:val="0"/>
        </w:numPr>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34" w:name="_Toc17241"/>
      <w:bookmarkStart w:id="35" w:name="_Toc4467"/>
      <w:r>
        <w:rPr>
          <w:rFonts w:hint="eastAsia" w:ascii="楷体" w:hAnsi="楷体" w:eastAsia="楷体" w:cs="楷体"/>
          <w:snapToGrid/>
          <w:kern w:val="2"/>
          <w:sz w:val="32"/>
          <w:szCs w:val="32"/>
          <w:lang w:val="en-US" w:eastAsia="zh-CN"/>
        </w:rPr>
        <w:t>4.2 监测预警</w:t>
      </w:r>
      <w:bookmarkEnd w:id="34"/>
      <w:bookmarkEnd w:id="35"/>
    </w:p>
    <w:p w14:paraId="25B1904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4.2.1危险源监测</w:t>
      </w:r>
    </w:p>
    <w:p w14:paraId="78FF8318">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lang w:val="en-US" w:eastAsia="zh-CN"/>
        </w:rPr>
        <w:t>（1）行业监管部门和属地管理部门要对可能发生事故的各类风险点、危险源、危险区域进行监控分析，研究制定应对方案，及时发布预警信息，采取相应措施预防事故发生；督促危险化学品和烟花爆竹从业单位按照有关法律法规加强对重大危险源的管理，建立重大危险源档案，并报县应急局备案。</w:t>
      </w:r>
    </w:p>
    <w:p w14:paraId="14117A4F">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lang w:val="en-US" w:eastAsia="zh-CN"/>
        </w:rPr>
        <w:t>（2）县应急局按照有关法律、法规、标准和本预案规定，对本辖区内危险化学品和烟花爆竹从业单位的危险源实施安全监督管理。开展危险源的辨识、安全评估和分级、登记建档工作，建立危险源档案。</w:t>
      </w:r>
    </w:p>
    <w:p w14:paraId="63A86EDF">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lang w:val="en-US" w:eastAsia="zh-CN"/>
        </w:rPr>
        <w:t>（3）县应急局建立健全危险源监控信息管理系统，实现对全县危险化学品和烟花爆竹危险源的动态监测、有效监控；鼓励企业建设并完善在线监控和预警系统，对储罐、反应釜、重大风险作业场所实施24小时实时监测，异常情况及时预警、及时处置。</w:t>
      </w:r>
    </w:p>
    <w:p w14:paraId="08749E14">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lang w:val="en-US" w:eastAsia="zh-CN"/>
        </w:rPr>
        <w:t>（</w:t>
      </w:r>
      <w:r>
        <w:rPr>
          <w:rFonts w:hint="eastAsia" w:ascii="Times New Roman" w:hAnsi="Times New Roman" w:eastAsia="仿宋_GB2312" w:cs="Times New Roman"/>
          <w:snapToGrid/>
          <w:kern w:val="2"/>
          <w:sz w:val="32"/>
          <w:szCs w:val="32"/>
          <w:lang w:val="en-US" w:eastAsia="zh-CN"/>
        </w:rPr>
        <w:t>4</w:t>
      </w:r>
      <w:r>
        <w:rPr>
          <w:rFonts w:hint="default" w:ascii="Times New Roman" w:hAnsi="Times New Roman" w:eastAsia="仿宋_GB2312" w:cs="Times New Roman"/>
          <w:snapToGrid/>
          <w:kern w:val="2"/>
          <w:sz w:val="32"/>
          <w:szCs w:val="32"/>
          <w:lang w:val="en-US" w:eastAsia="zh-CN"/>
        </w:rPr>
        <w:t>）定期对危险源单位进行安全检查，在重要时段、恶劣天气前加强检查频次。确保危险源的安全设施和安全监测监控系统有效、可靠运行。</w:t>
      </w:r>
    </w:p>
    <w:p w14:paraId="6B9C15DE">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lang w:val="en-US" w:eastAsia="zh-CN"/>
        </w:rPr>
        <w:t>（</w:t>
      </w:r>
      <w:r>
        <w:rPr>
          <w:rFonts w:hint="eastAsia" w:ascii="Times New Roman" w:hAnsi="Times New Roman" w:eastAsia="仿宋_GB2312" w:cs="Times New Roman"/>
          <w:snapToGrid/>
          <w:kern w:val="2"/>
          <w:sz w:val="32"/>
          <w:szCs w:val="32"/>
          <w:lang w:val="en-US" w:eastAsia="zh-CN"/>
        </w:rPr>
        <w:t>5</w:t>
      </w:r>
      <w:r>
        <w:rPr>
          <w:rFonts w:hint="default" w:ascii="Times New Roman" w:hAnsi="Times New Roman" w:eastAsia="仿宋_GB2312" w:cs="Times New Roman"/>
          <w:snapToGrid/>
          <w:kern w:val="2"/>
          <w:sz w:val="32"/>
          <w:szCs w:val="32"/>
          <w:lang w:val="en-US" w:eastAsia="zh-CN"/>
        </w:rPr>
        <w:t>）充分发挥社会监督作用，畅通</w:t>
      </w:r>
      <w:r>
        <w:rPr>
          <w:rFonts w:hint="eastAsia" w:ascii="Times New Roman" w:hAnsi="Times New Roman" w:eastAsia="仿宋_GB2312" w:cs="Times New Roman"/>
          <w:snapToGrid/>
          <w:kern w:val="2"/>
          <w:sz w:val="32"/>
          <w:szCs w:val="32"/>
          <w:lang w:val="en-US" w:eastAsia="zh-CN"/>
        </w:rPr>
        <w:t>“</w:t>
      </w:r>
      <w:r>
        <w:rPr>
          <w:rFonts w:hint="default" w:ascii="Times New Roman" w:hAnsi="Times New Roman" w:eastAsia="仿宋_GB2312" w:cs="Times New Roman"/>
          <w:snapToGrid/>
          <w:kern w:val="2"/>
          <w:sz w:val="32"/>
          <w:szCs w:val="32"/>
          <w:lang w:val="en-US" w:eastAsia="zh-CN"/>
        </w:rPr>
        <w:t>12345</w:t>
      </w:r>
      <w:r>
        <w:rPr>
          <w:rFonts w:hint="eastAsia" w:ascii="Times New Roman" w:hAnsi="Times New Roman" w:eastAsia="仿宋_GB2312" w:cs="Times New Roman"/>
          <w:snapToGrid/>
          <w:kern w:val="2"/>
          <w:sz w:val="32"/>
          <w:szCs w:val="32"/>
          <w:lang w:val="en-US" w:eastAsia="zh-CN"/>
        </w:rPr>
        <w:t>”“</w:t>
      </w:r>
      <w:r>
        <w:rPr>
          <w:rFonts w:hint="default" w:ascii="Times New Roman" w:hAnsi="Times New Roman" w:eastAsia="仿宋_GB2312" w:cs="Times New Roman"/>
          <w:snapToGrid/>
          <w:kern w:val="2"/>
          <w:sz w:val="32"/>
          <w:szCs w:val="32"/>
          <w:lang w:val="en-US" w:eastAsia="zh-CN"/>
        </w:rPr>
        <w:t>12350</w:t>
      </w:r>
      <w:r>
        <w:rPr>
          <w:rFonts w:hint="eastAsia" w:ascii="Times New Roman" w:hAnsi="Times New Roman" w:eastAsia="仿宋_GB2312" w:cs="Times New Roman"/>
          <w:snapToGrid/>
          <w:kern w:val="2"/>
          <w:sz w:val="32"/>
          <w:szCs w:val="32"/>
          <w:lang w:val="en-US" w:eastAsia="zh-CN"/>
        </w:rPr>
        <w:t>”</w:t>
      </w:r>
      <w:r>
        <w:rPr>
          <w:rFonts w:hint="default" w:ascii="Times New Roman" w:hAnsi="Times New Roman" w:eastAsia="仿宋_GB2312" w:cs="Times New Roman"/>
          <w:snapToGrid/>
          <w:kern w:val="2"/>
          <w:sz w:val="32"/>
          <w:szCs w:val="32"/>
          <w:lang w:val="en-US" w:eastAsia="zh-CN"/>
        </w:rPr>
        <w:t>举报渠道，建立隐患举报奖励机制，鼓励群众举报非法违法经营、储存、运输危险化学品和烟花爆竹行为，以及重大事故隐患。</w:t>
      </w:r>
    </w:p>
    <w:p w14:paraId="6B29EFB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4.2.2预警分级</w:t>
      </w:r>
    </w:p>
    <w:p w14:paraId="33B0281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根据监测监控情况进行预测分析，按照事故的紧急程度、发展势态和可能造成的危害程度，对可能造成的事故进行预警。</w:t>
      </w:r>
    </w:p>
    <w:p w14:paraId="60FEF2B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预警级别分为四级：可能导致一般事故（Ⅳ级）、较大事故（</w:t>
      </w:r>
      <w:r>
        <w:rPr>
          <w:rFonts w:hint="eastAsia" w:ascii="宋体" w:hAnsi="宋体" w:eastAsia="宋体" w:cs="宋体"/>
          <w:snapToGrid/>
          <w:kern w:val="2"/>
          <w:sz w:val="32"/>
          <w:szCs w:val="32"/>
          <w:lang w:val="en-US" w:eastAsia="zh-CN"/>
        </w:rPr>
        <w:t>Ⅲ</w:t>
      </w:r>
      <w:r>
        <w:rPr>
          <w:rFonts w:hint="eastAsia" w:ascii="Times New Roman" w:hAnsi="Times New Roman" w:eastAsia="仿宋_GB2312" w:cs="Times New Roman"/>
          <w:snapToGrid/>
          <w:kern w:val="2"/>
          <w:sz w:val="32"/>
          <w:szCs w:val="32"/>
          <w:lang w:val="en-US" w:eastAsia="zh-CN"/>
        </w:rPr>
        <w:t>级）、重大事故（Ⅱ级）、特别重大事故（I级），依次用蓝色、黄色、橙色和红色表示。</w:t>
      </w:r>
    </w:p>
    <w:p w14:paraId="655EEF9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highlight w:val="none"/>
          <w:lang w:val="en-US" w:eastAsia="zh-CN"/>
        </w:rPr>
      </w:pPr>
      <w:r>
        <w:rPr>
          <w:rFonts w:hint="eastAsia" w:ascii="楷体" w:hAnsi="楷体" w:eastAsia="楷体" w:cs="楷体"/>
          <w:snapToGrid/>
          <w:kern w:val="2"/>
          <w:sz w:val="32"/>
          <w:szCs w:val="32"/>
          <w:highlight w:val="none"/>
          <w:lang w:val="en-US" w:eastAsia="zh-CN"/>
        </w:rPr>
        <w:t>4.2.3预警发布和解除</w:t>
      </w:r>
    </w:p>
    <w:p w14:paraId="771B1DA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Ⅳ级预警由县人民政府或县安委会发布和解除，并报市县安委会备案。</w:t>
      </w:r>
      <w:r>
        <w:rPr>
          <w:rFonts w:hint="eastAsia" w:ascii="宋体" w:hAnsi="宋体" w:eastAsia="宋体" w:cs="宋体"/>
          <w:snapToGrid/>
          <w:kern w:val="2"/>
          <w:sz w:val="32"/>
          <w:szCs w:val="32"/>
          <w:lang w:val="en-US" w:eastAsia="zh-CN"/>
        </w:rPr>
        <w:t>Ⅲ</w:t>
      </w:r>
      <w:r>
        <w:rPr>
          <w:rFonts w:hint="eastAsia" w:ascii="Times New Roman" w:hAnsi="Times New Roman" w:eastAsia="仿宋_GB2312" w:cs="Times New Roman"/>
          <w:snapToGrid/>
          <w:kern w:val="2"/>
          <w:sz w:val="32"/>
          <w:szCs w:val="32"/>
          <w:lang w:val="en-US" w:eastAsia="zh-CN"/>
        </w:rPr>
        <w:t>级及以上预警由县人民政府报请上级人民政府发布和解除。</w:t>
      </w:r>
    </w:p>
    <w:p w14:paraId="72C1B34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4.2.4预警内容</w:t>
      </w:r>
    </w:p>
    <w:p w14:paraId="58FFD8B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预警信息应当包括发布机关、发布时间、发生地点、可能发生的事故类别、起始时间、可能影响范围、预警级别、警示事项、事态发展、疏散警戒、相关措施、咨询电话等。</w:t>
      </w:r>
    </w:p>
    <w:p w14:paraId="7B7E02C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4.2.5预警方式</w:t>
      </w:r>
    </w:p>
    <w:p w14:paraId="58A671D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预警信息主要通过县人民政府相关系统、县直有关部门相关系统发布，同时充分利用各种有效通信手段和传播媒介，如广播、电视、报刊、互联网、手机短信、电子显示屏、有线电视、宣传车或组织人员通知等。</w:t>
      </w:r>
    </w:p>
    <w:p w14:paraId="7142B59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4.2.6预警措施</w:t>
      </w:r>
    </w:p>
    <w:p w14:paraId="0B31B40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有关部门、有关单位视情迅速采取以下措施：</w:t>
      </w:r>
    </w:p>
    <w:p w14:paraId="6708165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（1）及时研判。预警信息发布后，县安委会迅速组织有关部门、有关专家对可能引发事故的风险进行分析研判，预估可能的影响范围和危害程度，制订相应的防范应对措施。</w:t>
      </w:r>
    </w:p>
    <w:p w14:paraId="56FE4C1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防范处置。根据研判情况在危险区域设置警示标志，增加宣传频次，告知公众避险信息，减小风险；提前疏散、转移可能受到危害的人员；加强巡查检查，必要时实施交通管制，封闭危险区域、路段。相关企业应视情降低生产负荷或停产。</w:t>
      </w:r>
    </w:p>
    <w:p w14:paraId="300672A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（3）应急准备。应急救援队伍进入待命状态，并调集应急所需物资和设备，检查应急通讯、交通、供电等保障系统，做好应急保障；有条件的可视情况预先开展应急演练。</w:t>
      </w:r>
    </w:p>
    <w:p w14:paraId="32F9E4B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（4）舆情管理。及时监测发现苗头性舆情信息，稳妥处置回应热点舆情，正确引导舆论方向，适时主动发布信息，信息发布统一由县委网信办归口。</w:t>
      </w:r>
    </w:p>
    <w:p w14:paraId="53AF6F6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县人民政府要加强风险分析预警平台建设，实时掌握危险化学品和烟花爆竹企业风险情况，发现危险化学品和烟花爆竹企业监控系统异常、超限报警等情况，及时向相关部门和单位预警。</w:t>
      </w:r>
    </w:p>
    <w:p w14:paraId="768093A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危险化学品和烟花爆竹企业遇重大危险源失控或重大事故隐患出现事故征兆时，立即发布和传递预警信息，并按程序向上级报告；下达预警指令，启动预警行动方案，必要时停止生产，组织撤离人员，执行相应预防性处置措施；加强监控，密切跟踪事态发展，检查措施执行情况并做好相应的应急准备；一旦发生事故，启动相应的应急响应，并按应急预案和现场处置方案及时予以处置。</w:t>
      </w:r>
    </w:p>
    <w:p w14:paraId="442E407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黑体" w:hAnsi="黑体" w:eastAsia="黑体" w:cs="黑体"/>
          <w:snapToGrid/>
          <w:kern w:val="2"/>
          <w:sz w:val="32"/>
          <w:szCs w:val="32"/>
          <w:lang w:val="en-US" w:eastAsia="zh-CN" w:bidi="ar-SA"/>
        </w:rPr>
      </w:pPr>
      <w:bookmarkStart w:id="36" w:name="_Toc7492"/>
      <w:bookmarkStart w:id="37" w:name="_Toc15554"/>
      <w:r>
        <w:rPr>
          <w:rFonts w:hint="eastAsia" w:ascii="黑体" w:hAnsi="黑体" w:eastAsia="黑体" w:cs="黑体"/>
          <w:snapToGrid/>
          <w:kern w:val="2"/>
          <w:sz w:val="32"/>
          <w:szCs w:val="32"/>
          <w:lang w:val="en-US" w:eastAsia="zh-CN" w:bidi="ar-SA"/>
        </w:rPr>
        <w:t>5.应急处置</w:t>
      </w:r>
      <w:bookmarkEnd w:id="36"/>
      <w:bookmarkEnd w:id="37"/>
    </w:p>
    <w:p w14:paraId="07C671D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38" w:name="_Toc25960"/>
      <w:bookmarkStart w:id="39" w:name="_Toc23114"/>
      <w:r>
        <w:rPr>
          <w:rFonts w:hint="eastAsia" w:ascii="楷体" w:hAnsi="楷体" w:eastAsia="楷体" w:cs="楷体"/>
          <w:snapToGrid/>
          <w:kern w:val="2"/>
          <w:sz w:val="32"/>
          <w:szCs w:val="32"/>
          <w:lang w:val="en-US" w:eastAsia="zh-CN"/>
        </w:rPr>
        <w:t>5.1 先期处置</w:t>
      </w:r>
      <w:bookmarkEnd w:id="38"/>
      <w:bookmarkEnd w:id="39"/>
    </w:p>
    <w:p w14:paraId="5F37F52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事故发生后，事故发生单位应采取以下措施：</w:t>
      </w:r>
    </w:p>
    <w:p w14:paraId="0FD9671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（1）立即成立临时现场指挥部，制定现场抢险救援方案，明确现场抢险救援责任和分工；在事发单位不具备先期处置能力时，由当地镇（街道）指导成立现场指挥部开展先期处置工作。</w:t>
      </w:r>
    </w:p>
    <w:p w14:paraId="1E60290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（2）1小时内向县应急局和企业主管部门报告事故。</w:t>
      </w:r>
    </w:p>
    <w:p w14:paraId="2E2EB78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采取有效措施防范事故扩大，包括但不限于停止生产作业、疏散危险区域人员、通知邻近可能受影响区域单位和人员做好防范等，确保救援人员安全。根据物料特性，采取关阀、断料、堵漏、倒罐等初步措施。</w:t>
      </w:r>
    </w:p>
    <w:p w14:paraId="268CBEC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（4）保护好事故现场，提前做好后勤保障和家属安抚的准备工作。</w:t>
      </w:r>
    </w:p>
    <w:p w14:paraId="016B4DB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（5）设立现场警戒线，及时报告当地公安机关，申请派员维护社会治安。</w:t>
      </w:r>
    </w:p>
    <w:p w14:paraId="5768205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40" w:name="_Toc24563"/>
      <w:bookmarkStart w:id="41" w:name="_Toc30427"/>
      <w:r>
        <w:rPr>
          <w:rFonts w:hint="eastAsia" w:ascii="楷体" w:hAnsi="楷体" w:eastAsia="楷体" w:cs="楷体"/>
          <w:snapToGrid/>
          <w:kern w:val="2"/>
          <w:sz w:val="32"/>
          <w:szCs w:val="32"/>
          <w:lang w:val="en-US" w:eastAsia="zh-CN"/>
        </w:rPr>
        <w:t>5.2 信息报告</w:t>
      </w:r>
      <w:bookmarkEnd w:id="40"/>
      <w:bookmarkEnd w:id="41"/>
    </w:p>
    <w:p w14:paraId="7FE7E6E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5.2.1报告时限</w:t>
      </w:r>
    </w:p>
    <w:p w14:paraId="2A29EAE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事发单位是突发事件信息报告的责任主体。危险化学品和烟花爆竹事故发生后，事故现场有关人员应当立即报告单位主要负责人，单位主要负责人接到报告后，应当于1小时内向事发地镇（街道）、县应急局及其他负有监管职责的有关部门报告。紧急情况下，可越级上报。</w:t>
      </w:r>
    </w:p>
    <w:p w14:paraId="6ED1E88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县应急局和负有安全生产监督管理职责的有关部门在接报事故信息2小时内依法向市应急管理局和市级负有安全生产监督管理职责的有关部门报告，并同时报告本级人民政府。</w:t>
      </w:r>
    </w:p>
    <w:p w14:paraId="1A7B69F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对交通运输事故引发的危险化学品泄漏、爆炸事故，公安、交通部门接到报告后，应当立即通报县应急局和相关部门，同步上报上级主管部门。</w:t>
      </w:r>
    </w:p>
    <w:p w14:paraId="2DBA94F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5.2.2报告内容</w:t>
      </w:r>
    </w:p>
    <w:p w14:paraId="4C67122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信息报告应尽量及时、准确、要素完整，因事故复杂情况不详的，在注明“需核实后续报”的前提下，可先报告简要情况，随后边核实边续报。</w:t>
      </w:r>
    </w:p>
    <w:p w14:paraId="651506C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信息报告内容主要包括：事故发生单位概况；事故发生的时间、地点及事故现场情况；事故简要经过，对事故发生原因初步分析判断；事故已造成或者可能造成的伤亡人数（包括下落不明的人数），涉及的危险化学品或烟花爆竹种类、数量、特性及可能的危害，初步估计的直接经济损失；事故抢救情况和采取的措施；对事故发展趋势的预测及请求上级帮助解决的问题。</w:t>
      </w:r>
    </w:p>
    <w:p w14:paraId="5C00CA86">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9"/>
        <w:rPr>
          <w:rFonts w:hint="eastAsia" w:ascii="楷体" w:hAnsi="楷体" w:eastAsia="楷体" w:cs="楷体"/>
          <w:snapToGrid/>
          <w:kern w:val="2"/>
          <w:sz w:val="32"/>
          <w:szCs w:val="32"/>
          <w:lang w:val="en-US" w:eastAsia="zh-CN"/>
        </w:rPr>
      </w:pPr>
      <w:r>
        <w:rPr>
          <w:rFonts w:hint="eastAsia" w:ascii="楷体" w:hAnsi="楷体" w:eastAsia="楷体" w:cs="楷体"/>
          <w:snapToGrid/>
          <w:kern w:val="2"/>
          <w:sz w:val="32"/>
          <w:szCs w:val="32"/>
          <w:lang w:val="en-US" w:eastAsia="zh-CN"/>
        </w:rPr>
        <w:t>5.2.3报告流程</w:t>
      </w:r>
    </w:p>
    <w:p w14:paraId="267D556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事故信息报告总体要求是“首报快、续报准、终报全”。首报：突出时效性，标题言简意赅、直奔主题、说明后果，</w:t>
      </w:r>
    </w:p>
    <w:p w14:paraId="62364030">
      <w:pPr>
        <w:keepNext w:val="0"/>
        <w:keepLines w:val="0"/>
        <w:pageBreakBefore w:val="0"/>
        <w:widowControl w:val="0"/>
        <w:kinsoku/>
        <w:wordWrap/>
        <w:overflowPunct w:val="0"/>
        <w:autoSpaceDE/>
        <w:autoSpaceDN/>
        <w:bidi w:val="0"/>
        <w:adjustRightInd w:val="0"/>
        <w:snapToGrid w:val="0"/>
        <w:spacing w:line="560" w:lineRule="exact"/>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紧急情况可由值班人员先通过电话报告。</w:t>
      </w:r>
    </w:p>
    <w:p w14:paraId="5BD72C2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续报：对于有一定持续过程的事故，要根据事态的发展持续报告事故处置情况。内容包括：先期处置情况；进一步核实的人员伤亡、财产损失、危害程度、影响范围；应急预案的启动、指挥部的组成；对上级领导指示（批示）的落实；紧急处置的措施、人员力量装备调用、社会舆情引导及信息发布等情况；拟请市政府协助解决的有关事项等。</w:t>
      </w:r>
    </w:p>
    <w:p w14:paraId="0760305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终报：包括事故处置结果、社会维稳、善后处置、恢复重建及对整个事故的调查评估等。重大生产安全事故处理完毕后要以书面形式详细报告事故处置结果，说明事故来龙去脉，对整个事故做出评估，并进行分析总结。</w:t>
      </w:r>
    </w:p>
    <w:p w14:paraId="0C7C761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42" w:name="_Toc19033"/>
      <w:bookmarkStart w:id="43" w:name="_Toc27610"/>
      <w:r>
        <w:rPr>
          <w:rFonts w:hint="eastAsia" w:ascii="楷体" w:hAnsi="楷体" w:eastAsia="楷体" w:cs="楷体"/>
          <w:snapToGrid/>
          <w:kern w:val="2"/>
          <w:sz w:val="32"/>
          <w:szCs w:val="32"/>
          <w:lang w:val="en-US" w:eastAsia="zh-CN"/>
        </w:rPr>
        <w:t>5.3 响应分级及行动</w:t>
      </w:r>
      <w:bookmarkEnd w:id="42"/>
      <w:bookmarkEnd w:id="43"/>
    </w:p>
    <w:p w14:paraId="1E8AB7A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按照事故的可控性、严重程度和影响范围，危险化学品突发事件应急响应级别分为Ⅳ级响应、</w:t>
      </w:r>
      <w:r>
        <w:rPr>
          <w:rFonts w:hint="eastAsia" w:ascii="宋体" w:hAnsi="宋体" w:eastAsia="宋体" w:cs="宋体"/>
          <w:snapToGrid/>
          <w:kern w:val="2"/>
          <w:sz w:val="32"/>
          <w:szCs w:val="32"/>
          <w:lang w:val="en-US" w:eastAsia="zh-CN"/>
        </w:rPr>
        <w:t>Ⅲ</w:t>
      </w:r>
      <w:r>
        <w:rPr>
          <w:rFonts w:hint="eastAsia" w:ascii="Times New Roman" w:hAnsi="Times New Roman" w:eastAsia="仿宋_GB2312" w:cs="Times New Roman"/>
          <w:snapToGrid/>
          <w:kern w:val="2"/>
          <w:sz w:val="32"/>
          <w:szCs w:val="32"/>
          <w:lang w:val="en-US" w:eastAsia="zh-CN"/>
        </w:rPr>
        <w:t>级响应、Ⅱ级响应和Ⅰ级响应。</w:t>
      </w:r>
    </w:p>
    <w:p w14:paraId="1130C2C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1.Ⅳ级响应</w:t>
      </w:r>
    </w:p>
    <w:p w14:paraId="6FA8048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满足以下条件之一时，启动Ⅳ级响应：</w:t>
      </w:r>
    </w:p>
    <w:p w14:paraId="24F0FB7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（1）造成多人轻伤的事故，</w:t>
      </w:r>
      <w:r>
        <w:rPr>
          <w:rFonts w:hint="eastAsia" w:ascii="仿宋_GB2312" w:hAnsi="仿宋_GB2312" w:eastAsia="仿宋_GB2312" w:cs="仿宋_GB2312"/>
          <w:sz w:val="32"/>
          <w:szCs w:val="32"/>
          <w:lang w:val="en-US" w:eastAsia="zh-CN"/>
        </w:rPr>
        <w:t>超出事发单位处置能力的事故</w:t>
      </w:r>
      <w:r>
        <w:rPr>
          <w:rFonts w:hint="eastAsia" w:ascii="Times New Roman" w:hAnsi="Times New Roman" w:eastAsia="仿宋_GB2312" w:cs="Times New Roman"/>
          <w:snapToGrid/>
          <w:kern w:val="2"/>
          <w:sz w:val="32"/>
          <w:szCs w:val="32"/>
          <w:lang w:val="en-US" w:eastAsia="zh-CN"/>
        </w:rPr>
        <w:t>；</w:t>
      </w:r>
    </w:p>
    <w:p w14:paraId="6E23372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（2）造成3人以下重伤（包括急性工业中毒）的事故；</w:t>
      </w:r>
    </w:p>
    <w:p w14:paraId="6D9C47C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（3）造成100万元以下直接经济损失的事故。</w:t>
      </w:r>
    </w:p>
    <w:p w14:paraId="52E52789">
      <w:pPr>
        <w:keepNext w:val="0"/>
        <w:keepLines w:val="0"/>
        <w:pageBreakBefore w:val="0"/>
        <w:tabs>
          <w:tab w:val="left" w:pos="840"/>
        </w:tabs>
        <w:wordWrap/>
        <w:overflowPunct w:val="0"/>
        <w:bidi w:val="0"/>
        <w:adjustRightInd w:val="0"/>
        <w:snapToGrid w:val="0"/>
        <w:spacing w:line="560" w:lineRule="exact"/>
        <w:ind w:firstLine="640" w:firstLineChars="200"/>
        <w:rPr>
          <w:rFonts w:hint="default" w:ascii="Times New Roman" w:hAnsi="Times New Roman" w:eastAsia="仿宋_GB2312" w:cs="Times New Roman"/>
          <w:snapToGrid/>
          <w:kern w:val="2"/>
          <w:sz w:val="32"/>
          <w:szCs w:val="32"/>
          <w:lang w:val="en-US" w:eastAsia="zh-CN"/>
        </w:rPr>
      </w:pPr>
      <w:r>
        <w:rPr>
          <w:rFonts w:hint="eastAsia" w:eastAsia="仿宋_GB2312"/>
          <w:color w:val="auto"/>
          <w:kern w:val="0"/>
          <w:sz w:val="32"/>
          <w:szCs w:val="32"/>
          <w:lang w:val="en-US" w:eastAsia="zh-CN"/>
        </w:rPr>
        <w:t>本文</w:t>
      </w:r>
      <w:r>
        <w:rPr>
          <w:rFonts w:hint="eastAsia" w:eastAsia="仿宋_GB2312"/>
          <w:color w:val="auto"/>
          <w:kern w:val="0"/>
          <w:sz w:val="32"/>
          <w:szCs w:val="32"/>
        </w:rPr>
        <w:t>有关数量表述中，“以上”含本数，“以下”不含本数</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下同。</w:t>
      </w:r>
    </w:p>
    <w:p w14:paraId="613FA27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由县安委会主任启动Ⅳ级响应，在事发单位先期处置的基础上，采取以下措施：</w:t>
      </w:r>
    </w:p>
    <w:p w14:paraId="4F59CFB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Ⅳ级响应由县应急局局长负责指挥协调，协调调派必要的应急救援装备、物资支援现场处置。视情况派出工作组赶赴事故现场，指导镇（街道）主要负责人现场处理，向事发单位负责人传达县安委会关于抢险救援的指导意见。县安委办进入应急值守状态，相关成员单位做好应急准备。及时向县安委会报告处置进展，做好信息发布和舆情引导工作。</w:t>
      </w:r>
    </w:p>
    <w:p w14:paraId="7CE97BB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w:t>
      </w:r>
      <w:r>
        <w:rPr>
          <w:rFonts w:hint="eastAsia" w:ascii="宋体" w:hAnsi="宋体" w:eastAsia="宋体" w:cs="宋体"/>
          <w:snapToGrid/>
          <w:kern w:val="2"/>
          <w:sz w:val="32"/>
          <w:szCs w:val="32"/>
          <w:lang w:val="en-US" w:eastAsia="zh-CN"/>
        </w:rPr>
        <w:t>Ⅲ</w:t>
      </w:r>
      <w:r>
        <w:rPr>
          <w:rFonts w:hint="eastAsia" w:ascii="Times New Roman" w:hAnsi="Times New Roman" w:eastAsia="仿宋_GB2312" w:cs="Times New Roman"/>
          <w:snapToGrid/>
          <w:kern w:val="2"/>
          <w:sz w:val="32"/>
          <w:szCs w:val="32"/>
          <w:lang w:val="en-US" w:eastAsia="zh-CN"/>
        </w:rPr>
        <w:t>级响应</w:t>
      </w:r>
    </w:p>
    <w:p w14:paraId="06CA1ED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满足以下条件之一时，启动</w:t>
      </w:r>
      <w:r>
        <w:rPr>
          <w:rFonts w:hint="eastAsia" w:ascii="宋体" w:hAnsi="宋体" w:eastAsia="宋体" w:cs="宋体"/>
          <w:snapToGrid/>
          <w:kern w:val="2"/>
          <w:sz w:val="32"/>
          <w:szCs w:val="32"/>
          <w:lang w:val="en-US" w:eastAsia="zh-CN"/>
        </w:rPr>
        <w:t>Ⅲ</w:t>
      </w:r>
      <w:r>
        <w:rPr>
          <w:rFonts w:hint="eastAsia" w:ascii="Times New Roman" w:hAnsi="Times New Roman" w:eastAsia="仿宋_GB2312" w:cs="Times New Roman"/>
          <w:snapToGrid/>
          <w:kern w:val="2"/>
          <w:sz w:val="32"/>
          <w:szCs w:val="32"/>
          <w:lang w:val="en-US" w:eastAsia="zh-CN"/>
        </w:rPr>
        <w:t>级响应：</w:t>
      </w:r>
    </w:p>
    <w:p w14:paraId="1E0267C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（1）造成3人以上、6人以下重伤（包括急性工业中毒）的事故；</w:t>
      </w:r>
    </w:p>
    <w:p w14:paraId="34813B4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（2）造成100万元以上、500万元以下直接经济损失的事故；</w:t>
      </w:r>
    </w:p>
    <w:p w14:paraId="4FC9DA3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（3）超出镇（街道）应急处置能力的事故；</w:t>
      </w:r>
    </w:p>
    <w:p w14:paraId="5B712A1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由县安委会主任启动</w:t>
      </w:r>
      <w:r>
        <w:rPr>
          <w:rFonts w:hint="eastAsia" w:ascii="宋体" w:hAnsi="宋体" w:eastAsia="宋体" w:cs="宋体"/>
          <w:snapToGrid/>
          <w:kern w:val="2"/>
          <w:sz w:val="32"/>
          <w:szCs w:val="32"/>
          <w:lang w:val="en-US" w:eastAsia="zh-CN"/>
        </w:rPr>
        <w:t>Ⅲ</w:t>
      </w:r>
      <w:r>
        <w:rPr>
          <w:rFonts w:hint="eastAsia" w:ascii="Times New Roman" w:hAnsi="Times New Roman" w:eastAsia="仿宋_GB2312" w:cs="Times New Roman"/>
          <w:snapToGrid/>
          <w:kern w:val="2"/>
          <w:sz w:val="32"/>
          <w:szCs w:val="32"/>
          <w:lang w:val="en-US" w:eastAsia="zh-CN"/>
        </w:rPr>
        <w:t>级响应，在Ⅳ级响应的基础上，采取以下措施：</w:t>
      </w:r>
    </w:p>
    <w:p w14:paraId="1B59347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宋体" w:hAnsi="宋体" w:eastAsia="宋体" w:cs="宋体"/>
          <w:snapToGrid/>
          <w:kern w:val="2"/>
          <w:sz w:val="32"/>
          <w:szCs w:val="32"/>
          <w:lang w:val="en-US" w:eastAsia="zh-CN"/>
        </w:rPr>
        <w:t>Ⅲ</w:t>
      </w:r>
      <w:r>
        <w:rPr>
          <w:rFonts w:hint="eastAsia" w:ascii="Times New Roman" w:hAnsi="Times New Roman" w:eastAsia="仿宋_GB2312" w:cs="Times New Roman"/>
          <w:snapToGrid/>
          <w:kern w:val="2"/>
          <w:sz w:val="32"/>
          <w:szCs w:val="32"/>
          <w:lang w:val="en-US" w:eastAsia="zh-CN"/>
        </w:rPr>
        <w:t>级响应由县安委会副主任负责指挥协调，立即派出工作组赶赴事故现场，指导、协调事故抢险救援工作。事发地镇（街道）组织受威胁群众疏散转移、临时安置，做好家属安抚工作；随时掌握抢险救援进展情况，视情协调增派有关救援力量。及时向县安委会报告处置进展，做好信息发布和舆情引导工作。</w:t>
      </w:r>
    </w:p>
    <w:p w14:paraId="01C7F94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bookmarkStart w:id="44" w:name="_Toc2818"/>
      <w:r>
        <w:rPr>
          <w:rFonts w:hint="eastAsia" w:ascii="Times New Roman" w:hAnsi="Times New Roman" w:eastAsia="仿宋_GB2312" w:cs="Times New Roman"/>
          <w:snapToGrid/>
          <w:kern w:val="2"/>
          <w:sz w:val="32"/>
          <w:szCs w:val="32"/>
          <w:lang w:val="en-US" w:eastAsia="zh-CN"/>
        </w:rPr>
        <w:t>3.Ⅱ级响应</w:t>
      </w:r>
    </w:p>
    <w:p w14:paraId="5BBD97C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满足以下条件之一时，启动Ⅱ级响应：</w:t>
      </w:r>
    </w:p>
    <w:p w14:paraId="01282474">
      <w:pPr>
        <w:keepNext w:val="0"/>
        <w:keepLines w:val="0"/>
        <w:pageBreakBefore w:val="0"/>
        <w:widowControl w:val="0"/>
        <w:numPr>
          <w:ilvl w:val="0"/>
          <w:numId w:val="0"/>
        </w:numPr>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（1）造成或可能造成1人死亡（含失踪）的事故；</w:t>
      </w:r>
    </w:p>
    <w:p w14:paraId="450664B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（2）造成6人以上、9人以下重伤（包括急性工业中毒）的事故；</w:t>
      </w:r>
    </w:p>
    <w:p w14:paraId="5F801B5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（3）造成500万元以上、900万元以下直接经济损失的事故；</w:t>
      </w:r>
    </w:p>
    <w:p w14:paraId="29CC716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由县安委会主任启动Ⅱ级响应，在Ⅲ级响应的基础上，采取以下措施：</w:t>
      </w:r>
    </w:p>
    <w:p w14:paraId="0B267B6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Ⅱ级响应由县安委会主任负责指挥协调，调动应急、公安、交管、消防、卫健、宣传等部门赶赴现场开展应急处置，组织协调各方力量开展抢险救援行动，组织受威胁区域群众全员转移避险，妥善做好临时安置和生活保障；立即向市委、市政府、市应急局报告事故情况，视情申请市级专业力量、物资增援；统一发布事故处置权威信息，做好舆情引导工作。</w:t>
      </w:r>
    </w:p>
    <w:p w14:paraId="644A07C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4.Ⅰ级响应</w:t>
      </w:r>
    </w:p>
    <w:p w14:paraId="6135444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满足以下条件之一时，启动Ⅰ级响应：</w:t>
      </w:r>
    </w:p>
    <w:p w14:paraId="0E816E1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（1）造成或可能造成2人以上死亡（含失踪）的事故；</w:t>
      </w:r>
    </w:p>
    <w:p w14:paraId="58DC828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（2）造成9人以上重伤（包括急性工业中毒）的事故；</w:t>
      </w:r>
    </w:p>
    <w:p w14:paraId="00953F9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（3）造成900万元以上的直接经济损失的事故；</w:t>
      </w:r>
    </w:p>
    <w:p w14:paraId="0BB99C9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由县安委会主任报请县应安委启动Ⅰ级响应，县应安委主任赴现场调度全县所有可用应急资源、救援力量、物资装备，全力开展应急处置工作，实行统一指挥、统一调度、统一行动；持续向市委、市政府、市应急管理局报告处置进展，立即申请市级应急救援力量、物资、技术增援；对事故现场周边实施全域交通管制，实行区域管控，全力保障救援通道畅通；全面加强重大危险源、重要基础设施、饮用水源地监测管控，严防次生、衍生灾害发生；市级应急指挥机构进驻后，全面服从市级统一指挥调度，全力配合做好各项应急处置、后勤保障、善后处置等工作。</w:t>
      </w:r>
    </w:p>
    <w:p w14:paraId="3D5C4C6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45" w:name="bookmark21"/>
      <w:bookmarkEnd w:id="45"/>
      <w:bookmarkStart w:id="46" w:name="bookmark57"/>
      <w:bookmarkEnd w:id="46"/>
      <w:bookmarkStart w:id="47" w:name="_Toc31292"/>
      <w:bookmarkStart w:id="48" w:name="_Toc28994"/>
      <w:r>
        <w:rPr>
          <w:rFonts w:hint="eastAsia" w:ascii="楷体" w:hAnsi="楷体" w:eastAsia="楷体" w:cs="楷体"/>
          <w:snapToGrid/>
          <w:kern w:val="2"/>
          <w:sz w:val="32"/>
          <w:szCs w:val="32"/>
          <w:lang w:val="en-US" w:eastAsia="zh-CN"/>
        </w:rPr>
        <w:t>5.4 扩大应急</w:t>
      </w:r>
      <w:bookmarkEnd w:id="47"/>
      <w:bookmarkEnd w:id="48"/>
    </w:p>
    <w:p w14:paraId="30143A7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如果应急处置未能控制事故发展，事故有进一步扩大的趋势，超出本行政区应急处置能力或跨本行政区的，必须立即报告县人民政府、市应急局和市人民政府，请求支援并提请启动上一级应急预案。当事故可能或已经造成跨县（市）影响时，应及时通报相邻地区。</w:t>
      </w:r>
    </w:p>
    <w:p w14:paraId="07C52AF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在上级预案启动前，县安委会各成员单位仍按职责实施应急救援。上级应急预案启动之后，各成员单位和工作组按照上级应急指挥部的要求配合实施救援。</w:t>
      </w:r>
    </w:p>
    <w:p w14:paraId="016C76A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出现急剧恶化的特殊险情时，现场指挥部在充分考虑专家和有关方面意见的基础上，依法依规采取紧急处置措施。如需采取放弃局部区域以防止更大灾难等极端措施，必须报请县安委会或更高层级指挥机构批准。</w:t>
      </w:r>
    </w:p>
    <w:p w14:paraId="43C2722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default" w:ascii="楷体" w:hAnsi="楷体" w:eastAsia="楷体" w:cs="楷体"/>
          <w:snapToGrid/>
          <w:kern w:val="2"/>
          <w:sz w:val="32"/>
          <w:szCs w:val="32"/>
          <w:lang w:val="en-US" w:eastAsia="zh-CN"/>
        </w:rPr>
      </w:pPr>
      <w:bookmarkStart w:id="49" w:name="_Toc14764"/>
      <w:r>
        <w:rPr>
          <w:rFonts w:hint="eastAsia" w:ascii="楷体" w:hAnsi="楷体" w:eastAsia="楷体" w:cs="楷体"/>
          <w:snapToGrid/>
          <w:kern w:val="2"/>
          <w:sz w:val="32"/>
          <w:szCs w:val="32"/>
          <w:lang w:val="en-US" w:eastAsia="zh-CN"/>
        </w:rPr>
        <w:t>5.5 处置措施</w:t>
      </w:r>
      <w:bookmarkEnd w:id="44"/>
      <w:bookmarkEnd w:id="49"/>
    </w:p>
    <w:p w14:paraId="312FB49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危险化学品和烟花爆竹生产安全事故应急救援现场处置属地为主。事故发生后，事故发生单位在报告信息的同时，立即组成现场指挥部，开展先期处置工作。镇（街道）接到事故报告后，应立即赶赴现场，指导协调现场应急处置工作。县安委会接报后应迅速指定现场指挥长，指挥长须立即赶赴现场接管指挥权。现场指挥部要根据事故具体类型和实际情况，采取下列措施最大限度减少人员伤亡和财产损失。</w:t>
      </w:r>
    </w:p>
    <w:p w14:paraId="380C1741">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现场警戒与人员疏散。根据事故涉及的危险化学品特性、燃烧爆炸范围、毒害性、扩散趋势，科学评估划定警戒隔离区，设置警示标志，安排专人警戒；对通往事故现场的道路实行交通管制，严禁无关车辆、人员进入；组织警戒隔离区内与应急处置无关的人员，沿上风向、侧风向路线有序撤离至安全区域，对老弱病残等特殊人群给予重点协助；明确疏散路线、集合点和负责人，及时清点人数，严防人员误入危险区域。</w:t>
      </w:r>
    </w:p>
    <w:p w14:paraId="309F479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现场监测与风险研判。持续对事故现场有毒有害气体浓度、易燃易爆气体浓度、气象参数、环境质量、建筑结构安全等进行实时监测，根据监测结果动态调整警戒范围和救援方案；专家组全程跟踪研判事故发展态势和次生风险，为现场处置提供技术支撑。</w:t>
      </w:r>
    </w:p>
    <w:p w14:paraId="5E8918B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科学施救与人员搜救。严格按照专项处置方案开展救援，所有进入现场的救援人员必须配备与事故风险匹配的安全防护装备，严格控制进入现场救援人员数量，设置紧急撤离通道和避险区域；优先开展被困人员搜救，将救出的受伤人员立即移交医疗救护组救治；严禁无防护、无方案盲目施救，发现危及救援人员安全的险情时，立即组织撤离。</w:t>
      </w:r>
    </w:p>
    <w:p w14:paraId="559C251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4）医疗救护与卫生防。在现场安全区域设立临时医疗点，对受伤人员进行紧急救治，根据伤情及时转运至定点医院，对危重伤员组织专家会诊，全力开展救治；对接触有毒有害物质的人员进行健康监测和医学观察；做好事故现场卫生防疫、饮用水安全监测，防范传染病发生。</w:t>
      </w:r>
    </w:p>
    <w:p w14:paraId="5656D2A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5）应急保障与后勤支撑。根据救援需要，及时调集应急救援物资、装备、油料、灭火剂、运输工具等，保障现场救援需求；协调通信、电力、供水等部门，保障现场应急通信、电力、供水持续稳定；保障救援人员和受灾群众基本生活需求。</w:t>
      </w:r>
    </w:p>
    <w:p w14:paraId="59F6FB9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6）洗消与环境处置。在危险区与安全区交界处设立洗消站，根据有害物质品种使用相应的洗消药剂，对所有染毒人员、工具、装备进行全面洗消；事故现场残留的有毒有害气体、泄漏液体、固体废弃物统一收集，进行无害化处置；洗消污水集中净化处理，严禁直接外排，严防二次污染。</w:t>
      </w:r>
    </w:p>
    <w:p w14:paraId="286FD42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7）现场清理与风险消除：事故险情控制后，抢险救援组对现场进行全面清理，彻底消除余火、泄漏源、爆炸隐患；烟花爆竹火灾爆炸事故现场清理过程中，严禁使用可能产生火花的设备，经专家评估确认无复燃、复爆风险后，方可开展后续清理工作。</w:t>
      </w:r>
    </w:p>
    <w:p w14:paraId="4C5A9012">
      <w:pPr>
        <w:keepNext w:val="0"/>
        <w:keepLines w:val="0"/>
        <w:pageBreakBefore w:val="0"/>
        <w:widowControl w:val="0"/>
        <w:kinsoku/>
        <w:wordWrap/>
        <w:topLinePunct w:val="0"/>
        <w:autoSpaceDE/>
        <w:autoSpaceDN/>
        <w:bidi w:val="0"/>
        <w:snapToGrid w:val="0"/>
        <w:spacing w:line="560" w:lineRule="exact"/>
        <w:ind w:firstLine="640"/>
        <w:textAlignment w:val="auto"/>
        <w:rPr>
          <w:rFonts w:hint="default" w:ascii="仿宋_GB2312" w:hAnsi="仿宋" w:eastAsia="仿宋_GB2312" w:cs="Times New Roman"/>
          <w:color w:val="000000"/>
          <w:sz w:val="32"/>
          <w:szCs w:val="32"/>
          <w:lang w:val="en-US" w:eastAsia="zh-CN"/>
        </w:rPr>
      </w:pPr>
      <w:r>
        <w:rPr>
          <w:rFonts w:hint="default" w:ascii="仿宋_GB2312" w:hAnsi="仿宋" w:eastAsia="仿宋_GB2312" w:cs="Times New Roman"/>
          <w:color w:val="000000"/>
          <w:sz w:val="32"/>
          <w:szCs w:val="32"/>
          <w:lang w:val="en-US" w:eastAsia="zh-CN"/>
        </w:rPr>
        <w:t>针对</w:t>
      </w:r>
      <w:r>
        <w:rPr>
          <w:rFonts w:hint="eastAsia" w:ascii="Times New Roman" w:hAnsi="Times New Roman" w:eastAsia="仿宋_GB2312" w:cs="Times New Roman"/>
          <w:snapToGrid/>
          <w:kern w:val="2"/>
          <w:sz w:val="32"/>
          <w:szCs w:val="32"/>
          <w:lang w:val="en-US" w:eastAsia="zh-CN"/>
        </w:rPr>
        <w:t>危险化学品和烟花爆竹风险特征</w:t>
      </w:r>
      <w:r>
        <w:rPr>
          <w:rFonts w:hint="default" w:ascii="仿宋_GB2312" w:hAnsi="仿宋" w:eastAsia="仿宋_GB2312" w:cs="Times New Roman"/>
          <w:color w:val="000000"/>
          <w:sz w:val="32"/>
          <w:szCs w:val="32"/>
          <w:lang w:val="en-US" w:eastAsia="zh-CN"/>
        </w:rPr>
        <w:t>，在</w:t>
      </w:r>
      <w:r>
        <w:rPr>
          <w:rFonts w:hint="eastAsia" w:ascii="仿宋_GB2312" w:hAnsi="仿宋" w:eastAsia="仿宋_GB2312" w:cs="Times New Roman"/>
          <w:color w:val="000000"/>
          <w:sz w:val="32"/>
          <w:szCs w:val="32"/>
          <w:lang w:val="en-US" w:eastAsia="zh-CN"/>
        </w:rPr>
        <w:t>上述</w:t>
      </w:r>
      <w:r>
        <w:rPr>
          <w:rFonts w:hint="default" w:ascii="仿宋_GB2312" w:hAnsi="仿宋" w:eastAsia="仿宋_GB2312" w:cs="Times New Roman"/>
          <w:color w:val="000000"/>
          <w:sz w:val="32"/>
          <w:szCs w:val="32"/>
          <w:lang w:val="en-US" w:eastAsia="zh-CN"/>
        </w:rPr>
        <w:t>通用处置措施基础上，</w:t>
      </w:r>
      <w:r>
        <w:rPr>
          <w:rFonts w:hint="eastAsia" w:ascii="仿宋_GB2312" w:hAnsi="仿宋" w:eastAsia="仿宋_GB2312" w:cs="Times New Roman"/>
          <w:color w:val="000000"/>
          <w:sz w:val="32"/>
          <w:szCs w:val="32"/>
          <w:lang w:val="en-US" w:eastAsia="zh-CN"/>
        </w:rPr>
        <w:t>进一步强化</w:t>
      </w:r>
      <w:r>
        <w:rPr>
          <w:rFonts w:hint="default" w:ascii="仿宋_GB2312" w:hAnsi="仿宋" w:eastAsia="仿宋_GB2312" w:cs="Times New Roman"/>
          <w:color w:val="000000"/>
          <w:sz w:val="32"/>
          <w:szCs w:val="32"/>
          <w:lang w:val="en-US" w:eastAsia="zh-CN"/>
        </w:rPr>
        <w:t>专项处置要求：</w:t>
      </w:r>
    </w:p>
    <w:p w14:paraId="16F01C0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危险化学品泄漏事故。立即采取关阀断料、停车泄压、封堵倒罐、围堰收容等措施，切断泄漏源，控制泄漏范围；根据泄漏物料的理化性质，采取稀释、中和、覆盖等措施，降低危害；严禁使用非防爆型设备，严禁违规点火，严防爆炸、中毒事故发生；环保部门全程开展环境监测，制定污染防控方案，防止污染水体、土壤和大气。</w:t>
      </w:r>
    </w:p>
    <w:p w14:paraId="7EF9696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危险化学品火灾爆炸事故。坚持“先控制、后灭火”原则，先对周边储罐、设备进行冷却降温，消除爆炸风险，再采取针对性灭火措施；严禁在泄漏源未切断的情况下盲目灭火，防止发生复燃、复爆；根据危化品特性选择正确的灭火药剂和灭火方式，严防灭火不当导致事故扩大。</w:t>
      </w:r>
    </w:p>
    <w:p w14:paraId="0E718A8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烟花爆竹火灾爆炸事故：立即组织周边人员全面疏散撤离，划定大范围警戒区域，严禁无关人员进入；优先冷却烟花爆竹储存区域，消除爆炸风险，严禁直接冲击烟花爆竹储存体，防止引发殉爆；严禁使用可能产生火花的破拆、清理设备，严防二次爆炸；全面排查清理现场残留烟花爆竹，消除复燃、复爆隐患。</w:t>
      </w:r>
    </w:p>
    <w:p w14:paraId="43E5CE6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4）危险化学品运输事故。立即封闭事故路段，实施交通管制，疏散周边人员；根据运输物料的特性，采取关阀堵漏、围堰收容、稀释中和等措施，控制泄漏范围，严防火灾、爆炸、中毒事故；环保部门全程监测周边水体、大气环境，严防污染饮用水源地；交通部门及时疏导交通，清理事故现场，尽快恢复道路通行。</w:t>
      </w:r>
    </w:p>
    <w:p w14:paraId="1A4A853A">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0"/>
        <w:rPr>
          <w:rFonts w:hint="eastAsia" w:ascii="楷体" w:hAnsi="楷体" w:eastAsia="楷体" w:cs="楷体"/>
          <w:snapToGrid/>
          <w:kern w:val="2"/>
          <w:sz w:val="32"/>
          <w:szCs w:val="32"/>
          <w:lang w:val="en-US" w:eastAsia="zh-CN"/>
        </w:rPr>
      </w:pPr>
      <w:bookmarkStart w:id="50" w:name="_Toc8649"/>
      <w:bookmarkStart w:id="51" w:name="_Toc25480"/>
      <w:r>
        <w:rPr>
          <w:rFonts w:hint="eastAsia" w:ascii="楷体" w:hAnsi="楷体" w:eastAsia="楷体" w:cs="楷体"/>
          <w:snapToGrid/>
          <w:kern w:val="2"/>
          <w:sz w:val="32"/>
          <w:szCs w:val="32"/>
          <w:lang w:val="en-US" w:eastAsia="zh-CN"/>
        </w:rPr>
        <w:t>5.6 信息发布</w:t>
      </w:r>
      <w:bookmarkEnd w:id="50"/>
      <w:bookmarkEnd w:id="51"/>
    </w:p>
    <w:p w14:paraId="47EAFC5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1）信息发布原则：发生一般危险化学品和烟花爆竹生产安全事故后，由县安委办视情向社会发布信息。发生较大以上危险化学品和烟花爆竹生产安全事故后，由县政府及时通过主流媒体向社会发布简要信息，最迟在5小时内发布权威信息，随后发布初步核实情况、政府应对措施和公众防范措施等，最迟应在24小时内举行新闻发布会。法律、行政法规和国家另有规定的，从其规定。</w:t>
      </w:r>
    </w:p>
    <w:p w14:paraId="7922992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2）信息发布形式：提供新闻通稿、组织吹风会、举行新闻发布会、接受媒体采访，以及运用官方网站、微信、移动客户端、手机短信等官方信息平台发布信息。对于跨县、涉及部门较多、影响较大的危险化学品和烟花爆竹生产安全事故，可由县委宣传部（县网信办）协调主流媒体对事故信息进行及时发布，相关工作组予以配合。</w:t>
      </w:r>
    </w:p>
    <w:p w14:paraId="261E6EA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（3）信息发布的内容主要包括：事故基本情况及应急救援进展情况；应急救援工作成效；上级政府领导的指示；下一步的计划；需要澄清的问题等。</w:t>
      </w:r>
    </w:p>
    <w:p w14:paraId="54E357B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4）舆情引导：未经批准授权，事故应急处置的各有关单位和个人不得擅自对外发布事故原因、伤亡数字、责任追究等有关事故处置工作的情况和事态发展信息。任何单位和个人不得编造、传播有关事故事态发展或者应急处置工作的虚假信息，对编造、传播虚假不实信息的单位和个人涉嫌违法情况和线索移交公安机关依法查处。宣传、网信、公安等部门应当加强网络媒体和移动新媒体信息发布内容管理和舆情分析，及时回应社会关切，迅速澄清谣言，引导网民依法、理性表达意见，形成积极健康的社会舆论氛围。</w:t>
      </w:r>
    </w:p>
    <w:p w14:paraId="35DF612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52" w:name="_Toc6931"/>
      <w:bookmarkStart w:id="53" w:name="_Toc27934"/>
      <w:r>
        <w:rPr>
          <w:rFonts w:hint="eastAsia" w:ascii="楷体" w:hAnsi="楷体" w:eastAsia="楷体" w:cs="楷体"/>
          <w:snapToGrid/>
          <w:kern w:val="2"/>
          <w:sz w:val="32"/>
          <w:szCs w:val="32"/>
          <w:lang w:val="en-US" w:eastAsia="zh-CN"/>
        </w:rPr>
        <w:t>5.7 应急结束</w:t>
      </w:r>
      <w:bookmarkEnd w:id="52"/>
      <w:bookmarkEnd w:id="53"/>
    </w:p>
    <w:p w14:paraId="1707BA5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事故现场得以控制，环境符合有关标准，导致次生、衍生事故的隐患消除后，经县应急指挥部确认和批准，现场应急处置工作结束，应急救援队伍撤离现场。事故善后处置工作完成后，由事发地责任单位提出，按照“谁启动、谁终止”的原则，报请县安委会批准结束应急处置工作，并宣布终止应急状态。由县安委会向各应急救援队伍下达应急终止命令。</w:t>
      </w:r>
    </w:p>
    <w:p w14:paraId="02E4E6A6">
      <w:pPr>
        <w:keepNext w:val="0"/>
        <w:keepLines w:val="0"/>
        <w:pageBreakBefore w:val="0"/>
        <w:widowControl w:val="0"/>
        <w:numPr>
          <w:ilvl w:val="0"/>
          <w:numId w:val="0"/>
        </w:numPr>
        <w:kinsoku/>
        <w:wordWrap/>
        <w:overflowPunct w:val="0"/>
        <w:autoSpaceDE/>
        <w:autoSpaceDN/>
        <w:bidi w:val="0"/>
        <w:adjustRightInd w:val="0"/>
        <w:snapToGrid w:val="0"/>
        <w:spacing w:line="560" w:lineRule="exact"/>
        <w:ind w:left="-10" w:leftChars="0" w:firstLine="640" w:firstLineChars="0"/>
        <w:jc w:val="both"/>
        <w:textAlignment w:val="auto"/>
        <w:outlineLvl w:val="0"/>
        <w:rPr>
          <w:rFonts w:hint="eastAsia" w:ascii="黑体" w:hAnsi="黑体" w:eastAsia="黑体" w:cs="黑体"/>
          <w:snapToGrid/>
          <w:kern w:val="2"/>
          <w:sz w:val="32"/>
          <w:szCs w:val="32"/>
          <w:lang w:val="en-US" w:eastAsia="zh-CN" w:bidi="ar-SA"/>
        </w:rPr>
      </w:pPr>
      <w:bookmarkStart w:id="54" w:name="_Toc12422"/>
      <w:bookmarkStart w:id="55" w:name="_Toc15306"/>
      <w:r>
        <w:rPr>
          <w:rFonts w:hint="eastAsia" w:ascii="黑体" w:hAnsi="黑体" w:eastAsia="黑体" w:cs="黑体"/>
          <w:snapToGrid/>
          <w:color w:val="000000"/>
          <w:kern w:val="2"/>
          <w:sz w:val="32"/>
          <w:szCs w:val="32"/>
          <w:lang w:val="en-US" w:eastAsia="zh-CN" w:bidi="ar-SA"/>
        </w:rPr>
        <w:t>6.</w:t>
      </w:r>
      <w:r>
        <w:rPr>
          <w:rFonts w:hint="eastAsia" w:ascii="黑体" w:hAnsi="黑体" w:eastAsia="黑体" w:cs="黑体"/>
          <w:snapToGrid/>
          <w:kern w:val="2"/>
          <w:sz w:val="32"/>
          <w:szCs w:val="32"/>
          <w:lang w:val="en-US" w:eastAsia="zh-CN" w:bidi="ar-SA"/>
        </w:rPr>
        <w:t>善后工作</w:t>
      </w:r>
      <w:bookmarkEnd w:id="54"/>
      <w:bookmarkEnd w:id="55"/>
    </w:p>
    <w:p w14:paraId="31EC9C5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56" w:name="_Toc18025"/>
      <w:bookmarkStart w:id="57" w:name="_Toc19119"/>
      <w:r>
        <w:rPr>
          <w:rFonts w:hint="eastAsia" w:ascii="楷体" w:hAnsi="楷体" w:eastAsia="楷体" w:cs="楷体"/>
          <w:snapToGrid/>
          <w:kern w:val="2"/>
          <w:sz w:val="32"/>
          <w:szCs w:val="32"/>
          <w:lang w:val="en-US" w:eastAsia="zh-CN"/>
        </w:rPr>
        <w:t>6.1 善后处置</w:t>
      </w:r>
      <w:bookmarkEnd w:id="56"/>
      <w:bookmarkEnd w:id="57"/>
    </w:p>
    <w:p w14:paraId="178E066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事故发生单位、县民政局、县人力资源和社会保障局等相关部门要妥善做好事故伤亡人员及其家属的安置、救济、补偿和保险理赔；参加救援的部门和单位应认真核对参加应急救援人数，清点救援装备、器材，整理救援资料，核算救援发生的费用；做好污染物的收集、清理与处理等事项；尽快恢复正常秩序，减少事故影响，确保社会稳定。</w:t>
      </w:r>
    </w:p>
    <w:p w14:paraId="0920998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58" w:name="_Toc13178"/>
      <w:bookmarkStart w:id="59" w:name="_Toc13754"/>
      <w:r>
        <w:rPr>
          <w:rFonts w:hint="eastAsia" w:ascii="楷体" w:hAnsi="楷体" w:eastAsia="楷体" w:cs="楷体"/>
          <w:snapToGrid/>
          <w:kern w:val="2"/>
          <w:sz w:val="32"/>
          <w:szCs w:val="32"/>
          <w:lang w:val="en-US" w:eastAsia="zh-CN"/>
        </w:rPr>
        <w:t>6.2 调查评估</w:t>
      </w:r>
      <w:bookmarkEnd w:id="58"/>
      <w:bookmarkEnd w:id="59"/>
    </w:p>
    <w:p w14:paraId="213FB73D">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事故调查应严格按照《生产安全事故报告和调查处理条例》等法律法规和有关规定进行。事故发生单位、县人民政府和相关部门单位要配合调查组开展调查，落实对有关责任人的处理意见及防止事故再次发生的措施。</w:t>
      </w:r>
    </w:p>
    <w:p w14:paraId="6514A036">
      <w:pPr>
        <w:keepNext w:val="0"/>
        <w:keepLines w:val="0"/>
        <w:pageBreakBefore w:val="0"/>
        <w:widowControl w:val="0"/>
        <w:kinsoku/>
        <w:wordWrap/>
        <w:overflowPunct w:val="0"/>
        <w:autoSpaceDE/>
        <w:autoSpaceDN/>
        <w:bidi w:val="0"/>
        <w:adjustRightInd w:val="0"/>
        <w:snapToGrid w:val="0"/>
        <w:spacing w:line="560" w:lineRule="exact"/>
        <w:ind w:firstLine="640" w:firstLineChars="200"/>
        <w:jc w:val="both"/>
        <w:textAlignment w:val="auto"/>
        <w:outlineLvl w:val="0"/>
        <w:rPr>
          <w:rFonts w:hint="eastAsia" w:ascii="楷体" w:hAnsi="楷体" w:eastAsia="楷体" w:cs="楷体"/>
          <w:snapToGrid/>
          <w:kern w:val="2"/>
          <w:sz w:val="32"/>
          <w:szCs w:val="32"/>
          <w:lang w:val="en-US" w:eastAsia="zh-CN"/>
        </w:rPr>
      </w:pPr>
      <w:bookmarkStart w:id="60" w:name="_Toc21530"/>
      <w:bookmarkStart w:id="61" w:name="_Toc3025"/>
      <w:r>
        <w:rPr>
          <w:rFonts w:hint="eastAsia" w:ascii="楷体" w:hAnsi="楷体" w:eastAsia="楷体" w:cs="楷体"/>
          <w:snapToGrid/>
          <w:kern w:val="2"/>
          <w:sz w:val="32"/>
          <w:szCs w:val="32"/>
          <w:lang w:val="en-US" w:eastAsia="zh-CN"/>
        </w:rPr>
        <w:t>6.3 总结评估</w:t>
      </w:r>
      <w:bookmarkEnd w:id="60"/>
      <w:bookmarkEnd w:id="61"/>
    </w:p>
    <w:p w14:paraId="3077ABCE">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应急救援工作结束后，县安委办会同其他相关部门单位对事故的抢险救援工作进行全面评估和总结，并及时向县人民政府和县应急局及相关部门写出书面报告。主要内容包括：事故的基本情况、接报和救援过程、组织指挥、应急预案执行情况、救援各阶段采取的主要措施、救援效果、遇到的问题和解决的办法、经验教训和改进的措施建议。</w:t>
      </w:r>
    </w:p>
    <w:p w14:paraId="043196F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62" w:name="_Toc9825"/>
      <w:bookmarkStart w:id="63" w:name="_Toc24859"/>
      <w:r>
        <w:rPr>
          <w:rFonts w:hint="eastAsia" w:ascii="楷体" w:hAnsi="楷体" w:eastAsia="楷体" w:cs="楷体"/>
          <w:snapToGrid/>
          <w:kern w:val="2"/>
          <w:sz w:val="32"/>
          <w:szCs w:val="32"/>
          <w:lang w:val="en-US" w:eastAsia="zh-CN"/>
        </w:rPr>
        <w:t>6.4 恢复重建</w:t>
      </w:r>
      <w:bookmarkEnd w:id="62"/>
      <w:bookmarkEnd w:id="63"/>
    </w:p>
    <w:p w14:paraId="774747AA">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县人民政府负责组织和协调各部门开展恢复重建工作，主要包括恢复生产、生活、工作和社会秩序等。</w:t>
      </w:r>
    </w:p>
    <w:p w14:paraId="666850A1">
      <w:pPr>
        <w:keepNext w:val="0"/>
        <w:keepLines w:val="0"/>
        <w:pageBreakBefore w:val="0"/>
        <w:widowControl w:val="0"/>
        <w:numPr>
          <w:ilvl w:val="0"/>
          <w:numId w:val="0"/>
        </w:numPr>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黑体" w:hAnsi="黑体" w:eastAsia="黑体" w:cs="黑体"/>
          <w:snapToGrid/>
          <w:kern w:val="2"/>
          <w:sz w:val="32"/>
          <w:szCs w:val="32"/>
          <w:lang w:val="en-US" w:eastAsia="zh-CN" w:bidi="ar-SA"/>
        </w:rPr>
      </w:pPr>
      <w:bookmarkStart w:id="64" w:name="_Toc897"/>
      <w:bookmarkStart w:id="65" w:name="_Toc20347"/>
      <w:r>
        <w:rPr>
          <w:rFonts w:hint="eastAsia" w:ascii="黑体" w:hAnsi="黑体" w:eastAsia="黑体" w:cs="黑体"/>
          <w:snapToGrid/>
          <w:color w:val="000000"/>
          <w:kern w:val="2"/>
          <w:sz w:val="32"/>
          <w:szCs w:val="32"/>
          <w:lang w:val="en-US" w:eastAsia="zh-CN" w:bidi="ar-SA"/>
        </w:rPr>
        <w:t>7.</w:t>
      </w:r>
      <w:r>
        <w:rPr>
          <w:rFonts w:hint="eastAsia" w:ascii="黑体" w:hAnsi="黑体" w:eastAsia="黑体" w:cs="黑体"/>
          <w:snapToGrid/>
          <w:kern w:val="2"/>
          <w:sz w:val="32"/>
          <w:szCs w:val="32"/>
          <w:lang w:val="en-US" w:eastAsia="zh-CN" w:bidi="ar-SA"/>
        </w:rPr>
        <w:t>应急保障</w:t>
      </w:r>
      <w:bookmarkEnd w:id="64"/>
      <w:bookmarkEnd w:id="65"/>
    </w:p>
    <w:p w14:paraId="7C5F63C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66" w:name="_Toc7094"/>
      <w:bookmarkStart w:id="67" w:name="_Toc24082"/>
      <w:r>
        <w:rPr>
          <w:rFonts w:hint="eastAsia" w:ascii="楷体" w:hAnsi="楷体" w:eastAsia="楷体" w:cs="楷体"/>
          <w:snapToGrid/>
          <w:kern w:val="2"/>
          <w:sz w:val="32"/>
          <w:szCs w:val="32"/>
          <w:lang w:val="en-US" w:eastAsia="zh-CN"/>
        </w:rPr>
        <w:t>7.1 队伍保障</w:t>
      </w:r>
      <w:bookmarkEnd w:id="66"/>
      <w:bookmarkEnd w:id="67"/>
    </w:p>
    <w:p w14:paraId="1011246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建立健全危险化学品和烟花爆竹生产安全事故应急救援队伍，包括消防救援队伍、工程抢险队伍、社会应急救援队伍、企业应急救援队伍以及公安、卫生、环保和其他有关部门（单位）的应急救援队伍。适时组织开展多种形式的应急演练，不断提高实战能力。</w:t>
      </w:r>
    </w:p>
    <w:p w14:paraId="5983DFD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68" w:name="_Toc30685"/>
      <w:bookmarkStart w:id="69" w:name="_Toc524"/>
      <w:r>
        <w:rPr>
          <w:rFonts w:hint="eastAsia" w:ascii="楷体" w:hAnsi="楷体" w:eastAsia="楷体" w:cs="楷体"/>
          <w:snapToGrid/>
          <w:kern w:val="2"/>
          <w:sz w:val="32"/>
          <w:szCs w:val="32"/>
          <w:lang w:val="en-US" w:eastAsia="zh-CN"/>
        </w:rPr>
        <w:t>7.2 物资保障</w:t>
      </w:r>
      <w:bookmarkEnd w:id="68"/>
      <w:bookmarkEnd w:id="69"/>
    </w:p>
    <w:p w14:paraId="2876431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各镇人民政府和街道办事处、村（社区）、危险化学品和烟花爆竹从业单位应当按照有关规定配备应急救援装备。建立应急救援设施、设备、救治药品和医疗器械等储备制度。</w:t>
      </w:r>
    </w:p>
    <w:p w14:paraId="1AAE59D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default"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县人民政府根据本地危险化学品和烟花爆竹生产安全事故应急救援的需要和特点，储备有关特种装备，如泡沫车、药剂车、联用车、气防车等，完善相应的应急保障措施。</w:t>
      </w:r>
    </w:p>
    <w:p w14:paraId="65E0E4E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70" w:name="_Toc18714"/>
      <w:bookmarkStart w:id="71" w:name="_Toc8632"/>
      <w:r>
        <w:rPr>
          <w:rFonts w:hint="eastAsia" w:ascii="楷体" w:hAnsi="楷体" w:eastAsia="楷体" w:cs="楷体"/>
          <w:snapToGrid/>
          <w:kern w:val="2"/>
          <w:sz w:val="32"/>
          <w:szCs w:val="32"/>
          <w:lang w:val="en-US" w:eastAsia="zh-CN"/>
        </w:rPr>
        <w:t>7.3 治安保障</w:t>
      </w:r>
      <w:bookmarkEnd w:id="70"/>
      <w:bookmarkEnd w:id="71"/>
    </w:p>
    <w:p w14:paraId="7D3F599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bookmarkStart w:id="72" w:name="_Toc9891"/>
      <w:r>
        <w:rPr>
          <w:rFonts w:hint="eastAsia" w:ascii="Times New Roman" w:hAnsi="Times New Roman" w:eastAsia="仿宋_GB2312" w:cs="Times New Roman"/>
          <w:snapToGrid/>
          <w:kern w:val="2"/>
          <w:sz w:val="32"/>
          <w:szCs w:val="32"/>
          <w:lang w:val="en-US" w:eastAsia="zh-CN"/>
        </w:rPr>
        <w:t>县公安局负责事故现场及周边区域的治安管理工作，依法严厉打击妨碍应急救援行动、盗窃哄抢救灾物资、造谣传谣等违法犯罪行为；做好现场警戒、人员疏散、重要物资警卫、遇难人员身份核验等工作；维护灾区社会治安秩序，保障应急处置工作顺利开展。</w:t>
      </w:r>
    </w:p>
    <w:p w14:paraId="3884C487">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73" w:name="_Toc12525"/>
      <w:r>
        <w:rPr>
          <w:rFonts w:hint="eastAsia" w:ascii="楷体" w:hAnsi="楷体" w:eastAsia="楷体" w:cs="楷体"/>
          <w:snapToGrid/>
          <w:kern w:val="2"/>
          <w:sz w:val="32"/>
          <w:szCs w:val="32"/>
          <w:lang w:val="en-US" w:eastAsia="zh-CN"/>
        </w:rPr>
        <w:t>7.4 交通运输保障</w:t>
      </w:r>
      <w:bookmarkEnd w:id="72"/>
      <w:bookmarkEnd w:id="73"/>
    </w:p>
    <w:p w14:paraId="71BAAE5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发生事故后，县安委会根据救援需要及时协调交通、公安等部门提供交通运输保障。县公安局对事故现场进行道路交通管制，根据需要开设应急救援特别通道。道路、桥梁、隧道等受损时，相关部门迅速组织抢修，确保救灾物资、器材和人员运送及时到位。</w:t>
      </w:r>
    </w:p>
    <w:p w14:paraId="4BECF510">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74" w:name="_Toc238"/>
      <w:bookmarkStart w:id="75" w:name="_Toc6113"/>
      <w:r>
        <w:rPr>
          <w:rFonts w:hint="eastAsia" w:ascii="楷体" w:hAnsi="楷体" w:eastAsia="楷体" w:cs="楷体"/>
          <w:snapToGrid/>
          <w:kern w:val="2"/>
          <w:sz w:val="32"/>
          <w:szCs w:val="32"/>
          <w:lang w:val="en-US" w:eastAsia="zh-CN"/>
        </w:rPr>
        <w:t>7.5 通信与信息保障</w:t>
      </w:r>
      <w:bookmarkEnd w:id="74"/>
      <w:bookmarkEnd w:id="75"/>
    </w:p>
    <w:p w14:paraId="515A553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县工信局应组织通信运营单位、供电单位做好各类事故的应急通信保障方案和应急供电保障方案，保障事故现场通信和电力畅通；各级、各类专业应急救援队伍和机构应当掌握本地或本领域内的通信联系方式。</w:t>
      </w:r>
    </w:p>
    <w:p w14:paraId="6AE538C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76" w:name="_Toc32559"/>
      <w:bookmarkStart w:id="77" w:name="_Toc28122"/>
      <w:r>
        <w:rPr>
          <w:rFonts w:hint="eastAsia" w:ascii="楷体" w:hAnsi="楷体" w:eastAsia="楷体" w:cs="楷体"/>
          <w:snapToGrid/>
          <w:kern w:val="2"/>
          <w:sz w:val="32"/>
          <w:szCs w:val="32"/>
          <w:lang w:val="en-US" w:eastAsia="zh-CN"/>
        </w:rPr>
        <w:t>7.6 经费保障</w:t>
      </w:r>
      <w:bookmarkEnd w:id="76"/>
      <w:bookmarkEnd w:id="77"/>
    </w:p>
    <w:p w14:paraId="06C966E4">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人民政府、各镇人民政府和街道办事处、村（社区）、危险化学品和烟花爆竹从业单位应当做好事故应急救援必要的资金准备，资金必须专款专用，专门用于事故应急抢险救灾，以保障应急状态时应急经费的及时到位。</w:t>
      </w:r>
    </w:p>
    <w:p w14:paraId="035445E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应急救援队伍根据应急救援队伍调动通知参加生产安全事故应急救援所耗费用，由事故责任单位承担，有关人民政府及应急管理部门应当督促支付到位；事故责任单位无力承担的，由事发地政府协调解决。充分发挥社会保险作用，进一步健全区域公共安全保险体系。</w:t>
      </w:r>
    </w:p>
    <w:p w14:paraId="35CB1029">
      <w:pPr>
        <w:keepNext w:val="0"/>
        <w:keepLines w:val="0"/>
        <w:pageBreakBefore w:val="0"/>
        <w:widowControl w:val="0"/>
        <w:numPr>
          <w:ilvl w:val="0"/>
          <w:numId w:val="0"/>
        </w:numPr>
        <w:kinsoku/>
        <w:wordWrap/>
        <w:overflowPunct w:val="0"/>
        <w:autoSpaceDE/>
        <w:autoSpaceDN/>
        <w:bidi w:val="0"/>
        <w:adjustRightInd w:val="0"/>
        <w:snapToGrid w:val="0"/>
        <w:spacing w:line="560" w:lineRule="exact"/>
        <w:ind w:left="630" w:leftChars="0"/>
        <w:jc w:val="both"/>
        <w:textAlignment w:val="auto"/>
        <w:outlineLvl w:val="0"/>
        <w:rPr>
          <w:rFonts w:hint="eastAsia" w:ascii="黑体" w:hAnsi="黑体" w:eastAsia="黑体" w:cs="黑体"/>
          <w:snapToGrid/>
          <w:kern w:val="2"/>
          <w:sz w:val="32"/>
          <w:szCs w:val="32"/>
          <w:lang w:val="en-US" w:eastAsia="zh-CN" w:bidi="ar-SA"/>
        </w:rPr>
      </w:pPr>
      <w:bookmarkStart w:id="78" w:name="_Toc12740"/>
      <w:bookmarkStart w:id="79" w:name="_Toc27537"/>
      <w:r>
        <w:rPr>
          <w:rFonts w:hint="eastAsia" w:ascii="黑体" w:hAnsi="黑体" w:eastAsia="黑体" w:cs="黑体"/>
          <w:snapToGrid/>
          <w:kern w:val="2"/>
          <w:sz w:val="32"/>
          <w:szCs w:val="32"/>
          <w:lang w:val="en-US" w:eastAsia="zh-CN" w:bidi="ar-SA"/>
        </w:rPr>
        <w:t>8.监督管理</w:t>
      </w:r>
      <w:bookmarkEnd w:id="78"/>
      <w:bookmarkEnd w:id="79"/>
    </w:p>
    <w:p w14:paraId="3BAABD19">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80" w:name="_Toc6957"/>
      <w:bookmarkStart w:id="81" w:name="_Toc3000"/>
      <w:r>
        <w:rPr>
          <w:rFonts w:hint="eastAsia" w:ascii="楷体" w:hAnsi="楷体" w:eastAsia="楷体" w:cs="楷体"/>
          <w:snapToGrid/>
          <w:kern w:val="2"/>
          <w:sz w:val="32"/>
          <w:szCs w:val="32"/>
          <w:lang w:val="en-US" w:eastAsia="zh-CN"/>
        </w:rPr>
        <w:t>8.1 宣传、培训和演练</w:t>
      </w:r>
      <w:bookmarkEnd w:id="80"/>
      <w:bookmarkEnd w:id="81"/>
    </w:p>
    <w:p w14:paraId="636C1E95">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县应急局应组织开展安全生产法律法规和预防、避险、避害、避灾、自救、互救常识的宣传工作。</w:t>
      </w:r>
    </w:p>
    <w:p w14:paraId="4A856B9B">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县应急局应组织危险化学品、烟花爆竹生产经营单位和应急救援队伍进行专业培训和业务学习；积极组织社会志愿者的培训，提高公众自救、互救能力；对生产经营单位加强培训指导和检查。</w:t>
      </w:r>
    </w:p>
    <w:p w14:paraId="71A758F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县应急局负责建立预案演练制度，至少每2年进行一次应急演练，做好各部门之间的协调配合及通信联络，确保紧急状态下的有效沟通和统一指挥。通过应急演练，培训和锻炼应急救援队伍，改进和完善应急预案，并做好演练评估工作。</w:t>
      </w:r>
      <w:r>
        <w:rPr>
          <w:rFonts w:hint="eastAsia" w:ascii="仿宋_GB2312" w:hAnsi="仿宋_GB2312" w:eastAsia="仿宋_GB2312" w:cs="仿宋_GB2312"/>
          <w:sz w:val="32"/>
          <w:szCs w:val="32"/>
        </w:rPr>
        <w:t>易燃易爆物品、危险化学品等危险物品的生产、经营、储存、运输单位，至少每半年组织一次生产安全事故应急预案演练，并将演练情况报送相关负有安全生产监督管理职责的部门。各负有安全生产监督管理职责的部门应当对上述重点生产经营单位的生产安全事故应急救援预案演练进行抽查；发现演练不符合要求的，应当责令限期改正。</w:t>
      </w:r>
    </w:p>
    <w:p w14:paraId="7397089C">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82" w:name="_Toc28547"/>
      <w:bookmarkStart w:id="83" w:name="_Toc26418"/>
      <w:r>
        <w:rPr>
          <w:rFonts w:hint="eastAsia" w:ascii="楷体" w:hAnsi="楷体" w:eastAsia="楷体" w:cs="楷体"/>
          <w:snapToGrid/>
          <w:kern w:val="2"/>
          <w:sz w:val="32"/>
          <w:szCs w:val="32"/>
          <w:lang w:val="en-US" w:eastAsia="zh-CN"/>
        </w:rPr>
        <w:t>8.2 奖励与责任追究</w:t>
      </w:r>
      <w:bookmarkEnd w:id="82"/>
      <w:bookmarkEnd w:id="83"/>
    </w:p>
    <w:p w14:paraId="3EE20AF2">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对在突发事件应对工作中有突出贡献的单位和个人，按照有关规定进行申报，经相关部门审核批准同意后，予以表彰或奖励。对应急救援组织不力，迟报、瞒报、谎报和漏报突发事件重要情况，造成事故损失扩大的，或者在应急管理工作中有其他渎职行为的，依法依规追究有关责任单位和人员的行政责任；涉嫌犯罪的，依法移送有权机关处理。</w:t>
      </w:r>
    </w:p>
    <w:p w14:paraId="520A07A0">
      <w:pPr>
        <w:keepNext w:val="0"/>
        <w:keepLines w:val="0"/>
        <w:pageBreakBefore w:val="0"/>
        <w:widowControl w:val="0"/>
        <w:numPr>
          <w:ilvl w:val="0"/>
          <w:numId w:val="0"/>
        </w:numPr>
        <w:kinsoku/>
        <w:wordWrap/>
        <w:overflowPunct w:val="0"/>
        <w:autoSpaceDE/>
        <w:autoSpaceDN/>
        <w:bidi w:val="0"/>
        <w:adjustRightInd w:val="0"/>
        <w:snapToGrid w:val="0"/>
        <w:spacing w:line="560" w:lineRule="exact"/>
        <w:ind w:left="-10" w:leftChars="0" w:firstLine="640" w:firstLineChars="0"/>
        <w:jc w:val="both"/>
        <w:textAlignment w:val="auto"/>
        <w:outlineLvl w:val="0"/>
        <w:rPr>
          <w:rFonts w:hint="eastAsia" w:ascii="黑体" w:hAnsi="黑体" w:eastAsia="黑体" w:cs="黑体"/>
          <w:snapToGrid/>
          <w:kern w:val="2"/>
          <w:sz w:val="32"/>
          <w:szCs w:val="32"/>
          <w:lang w:val="en-US" w:eastAsia="zh-CN" w:bidi="ar-SA"/>
        </w:rPr>
      </w:pPr>
      <w:bookmarkStart w:id="84" w:name="_Toc17585"/>
      <w:bookmarkStart w:id="85" w:name="_Toc18807"/>
      <w:r>
        <w:rPr>
          <w:rFonts w:hint="eastAsia" w:ascii="黑体" w:hAnsi="黑体" w:eastAsia="黑体" w:cs="黑体"/>
          <w:snapToGrid/>
          <w:color w:val="000000"/>
          <w:kern w:val="2"/>
          <w:sz w:val="32"/>
          <w:szCs w:val="32"/>
          <w:lang w:val="en-US" w:eastAsia="zh-CN" w:bidi="ar-SA"/>
        </w:rPr>
        <w:t>9.</w:t>
      </w:r>
      <w:r>
        <w:rPr>
          <w:rFonts w:hint="eastAsia" w:ascii="黑体" w:hAnsi="黑体" w:eastAsia="黑体" w:cs="黑体"/>
          <w:snapToGrid/>
          <w:kern w:val="2"/>
          <w:sz w:val="32"/>
          <w:szCs w:val="32"/>
          <w:lang w:val="en-US" w:eastAsia="zh-CN" w:bidi="ar-SA"/>
        </w:rPr>
        <w:t>附则</w:t>
      </w:r>
      <w:bookmarkEnd w:id="84"/>
      <w:bookmarkEnd w:id="85"/>
    </w:p>
    <w:p w14:paraId="1362543F">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default" w:ascii="楷体" w:hAnsi="楷体" w:eastAsia="楷体" w:cs="楷体"/>
          <w:snapToGrid/>
          <w:kern w:val="2"/>
          <w:sz w:val="32"/>
          <w:szCs w:val="32"/>
          <w:lang w:val="en-US" w:eastAsia="zh-CN"/>
        </w:rPr>
      </w:pPr>
      <w:bookmarkStart w:id="86" w:name="_Toc7050"/>
      <w:bookmarkStart w:id="87" w:name="_Toc29310"/>
      <w:r>
        <w:rPr>
          <w:rFonts w:hint="eastAsia" w:ascii="楷体" w:hAnsi="楷体" w:eastAsia="楷体" w:cs="楷体"/>
          <w:snapToGrid/>
          <w:kern w:val="2"/>
          <w:sz w:val="32"/>
          <w:szCs w:val="32"/>
          <w:lang w:val="en-US" w:eastAsia="zh-CN"/>
        </w:rPr>
        <w:t>9.1 预案管理</w:t>
      </w:r>
      <w:bookmarkEnd w:id="86"/>
      <w:bookmarkEnd w:id="87"/>
    </w:p>
    <w:p w14:paraId="038AFBB8">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出现法律、法规、规章、标准、上位预案中的有关规定发生变化、应急指挥机构及其职责发生重大调整、重要应急资源发生重大变化等情况时，县应急局及时修订。本预案由县应急局负责具体解释工作。</w:t>
      </w:r>
    </w:p>
    <w:p w14:paraId="54D12AB3">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outlineLvl w:val="0"/>
        <w:rPr>
          <w:rFonts w:hint="eastAsia" w:ascii="楷体" w:hAnsi="楷体" w:eastAsia="楷体" w:cs="楷体"/>
          <w:snapToGrid/>
          <w:kern w:val="2"/>
          <w:sz w:val="32"/>
          <w:szCs w:val="32"/>
          <w:lang w:val="en-US" w:eastAsia="zh-CN"/>
        </w:rPr>
      </w:pPr>
      <w:bookmarkStart w:id="88" w:name="_Toc15890"/>
      <w:bookmarkStart w:id="89" w:name="_Toc27904"/>
      <w:r>
        <w:rPr>
          <w:rFonts w:hint="eastAsia" w:ascii="楷体" w:hAnsi="楷体" w:eastAsia="楷体" w:cs="楷体"/>
          <w:snapToGrid/>
          <w:kern w:val="2"/>
          <w:sz w:val="32"/>
          <w:szCs w:val="32"/>
          <w:lang w:val="en-US" w:eastAsia="zh-CN"/>
        </w:rPr>
        <w:t>9.2 预案实施</w:t>
      </w:r>
      <w:bookmarkEnd w:id="88"/>
      <w:bookmarkEnd w:id="89"/>
    </w:p>
    <w:p w14:paraId="6BF4202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本预案自发布之日起施行。</w:t>
      </w:r>
    </w:p>
    <w:sectPr>
      <w:footerReference r:id="rId11" w:type="default"/>
      <w:pgSz w:w="11906" w:h="16838"/>
      <w:pgMar w:top="1440" w:right="1800" w:bottom="1440" w:left="1800" w:header="851" w:footer="850"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20C1731-C2EE-41E1-A6E1-853C8FD992F2}"/>
  </w:font>
  <w:font w:name="黑体">
    <w:panose1 w:val="02010609060101010101"/>
    <w:charset w:val="86"/>
    <w:family w:val="auto"/>
    <w:pitch w:val="default"/>
    <w:sig w:usb0="800002BF" w:usb1="38CF7CFA" w:usb2="00000016" w:usb3="00000000" w:csb0="00040001" w:csb1="00000000"/>
    <w:embedRegular r:id="rId2" w:fontKey="{8B95F457-E253-4505-AC0E-BB86AEBAD2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DD355C31-4A7E-4512-9FC3-903CE70D7F4C}"/>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4" w:fontKey="{A3E4716F-16E0-4642-99D6-4B54DA7CD932}"/>
  </w:font>
  <w:font w:name="仿宋">
    <w:panose1 w:val="02010609060101010101"/>
    <w:charset w:val="86"/>
    <w:family w:val="auto"/>
    <w:pitch w:val="default"/>
    <w:sig w:usb0="800002BF" w:usb1="38CF7CFA" w:usb2="00000016" w:usb3="00000000" w:csb0="00040001" w:csb1="00000000"/>
    <w:embedRegular r:id="rId5" w:fontKey="{20C99ABB-A25D-4B82-8149-C00FA333196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AE75B">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6D707">
    <w:pPr>
      <w:pStyle w:val="8"/>
      <w:framePr w:wrap="around" w:vAnchor="text" w:hAnchor="margin" w:xAlign="outside" w:y="1"/>
      <w:rPr>
        <w:rStyle w:val="16"/>
      </w:rPr>
    </w:pPr>
    <w:r>
      <w:fldChar w:fldCharType="begin"/>
    </w:r>
    <w:r>
      <w:rPr>
        <w:rStyle w:val="16"/>
      </w:rPr>
      <w:instrText xml:space="preserve">PAGE  </w:instrText>
    </w:r>
    <w:r>
      <w:fldChar w:fldCharType="end"/>
    </w:r>
  </w:p>
  <w:p w14:paraId="45ED8934">
    <w:pPr>
      <w:pStyle w:val="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6375C">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39C88">
    <w:pPr>
      <w:spacing w:line="233" w:lineRule="auto"/>
      <w:rPr>
        <w:rFonts w:hint="default" w:ascii="宋体" w:hAnsi="宋体" w:eastAsia="宋体" w:cs="宋体"/>
        <w:sz w:val="31"/>
        <w:szCs w:val="31"/>
        <w:lang w:val="en-US"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A8005">
    <w:pPr>
      <w:spacing w:line="233" w:lineRule="auto"/>
      <w:rPr>
        <w:rFonts w:hint="default" w:ascii="宋体" w:hAnsi="宋体" w:eastAsia="宋体" w:cs="宋体"/>
        <w:sz w:val="31"/>
        <w:szCs w:val="31"/>
        <w:lang w:val="en-US" w:eastAsia="zh-CN"/>
      </w:rPr>
    </w:pPr>
    <w:r>
      <w:rPr>
        <w:sz w:val="3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8ABB5D">
                          <w:pPr>
                            <w:pStyle w:val="8"/>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8ABB5D">
                    <w:pPr>
                      <w:pStyle w:val="8"/>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93533">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2966A">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577A2"/>
    <w:rsid w:val="004B48CF"/>
    <w:rsid w:val="00A40483"/>
    <w:rsid w:val="00D30013"/>
    <w:rsid w:val="012D0479"/>
    <w:rsid w:val="01545A05"/>
    <w:rsid w:val="016C2D4F"/>
    <w:rsid w:val="01891B53"/>
    <w:rsid w:val="01AC6167"/>
    <w:rsid w:val="01DB7ED5"/>
    <w:rsid w:val="020236B3"/>
    <w:rsid w:val="020F6097"/>
    <w:rsid w:val="021E0508"/>
    <w:rsid w:val="02203B3A"/>
    <w:rsid w:val="024725F3"/>
    <w:rsid w:val="029C1412"/>
    <w:rsid w:val="02A604E3"/>
    <w:rsid w:val="031E451D"/>
    <w:rsid w:val="03BE185C"/>
    <w:rsid w:val="040D00EE"/>
    <w:rsid w:val="041651F4"/>
    <w:rsid w:val="048E2C65"/>
    <w:rsid w:val="04A40A52"/>
    <w:rsid w:val="04B36EE7"/>
    <w:rsid w:val="04C904B8"/>
    <w:rsid w:val="05776166"/>
    <w:rsid w:val="05976809"/>
    <w:rsid w:val="05B60993"/>
    <w:rsid w:val="05FB572F"/>
    <w:rsid w:val="06113EC5"/>
    <w:rsid w:val="064A73D7"/>
    <w:rsid w:val="0681621F"/>
    <w:rsid w:val="0690109C"/>
    <w:rsid w:val="06D03D80"/>
    <w:rsid w:val="06D53145"/>
    <w:rsid w:val="07027CB2"/>
    <w:rsid w:val="070C0DEF"/>
    <w:rsid w:val="072E5AFA"/>
    <w:rsid w:val="075B5D40"/>
    <w:rsid w:val="07B74F40"/>
    <w:rsid w:val="07C47278"/>
    <w:rsid w:val="07E6011C"/>
    <w:rsid w:val="08514A4D"/>
    <w:rsid w:val="0858227F"/>
    <w:rsid w:val="08640C24"/>
    <w:rsid w:val="0865499C"/>
    <w:rsid w:val="086E55FF"/>
    <w:rsid w:val="08AD7C99"/>
    <w:rsid w:val="08C571E9"/>
    <w:rsid w:val="08FF094D"/>
    <w:rsid w:val="091361A6"/>
    <w:rsid w:val="0938261D"/>
    <w:rsid w:val="093A3733"/>
    <w:rsid w:val="09606F40"/>
    <w:rsid w:val="096E7880"/>
    <w:rsid w:val="0A3665F0"/>
    <w:rsid w:val="0A6A6C22"/>
    <w:rsid w:val="0A71587A"/>
    <w:rsid w:val="0A9A2C73"/>
    <w:rsid w:val="0AA479FE"/>
    <w:rsid w:val="0AEB73DB"/>
    <w:rsid w:val="0B071D3B"/>
    <w:rsid w:val="0B183F48"/>
    <w:rsid w:val="0B470389"/>
    <w:rsid w:val="0B4F695F"/>
    <w:rsid w:val="0B7C0033"/>
    <w:rsid w:val="0BBF43C3"/>
    <w:rsid w:val="0BC47C2C"/>
    <w:rsid w:val="0C191D25"/>
    <w:rsid w:val="0C3C3C66"/>
    <w:rsid w:val="0C540FAF"/>
    <w:rsid w:val="0C6A2581"/>
    <w:rsid w:val="0C6D6F23"/>
    <w:rsid w:val="0CD361D1"/>
    <w:rsid w:val="0CEE4F60"/>
    <w:rsid w:val="0D5A25F6"/>
    <w:rsid w:val="0DA815B3"/>
    <w:rsid w:val="0DBF5833"/>
    <w:rsid w:val="0DC67C8B"/>
    <w:rsid w:val="0E0F1632"/>
    <w:rsid w:val="0E4D3F08"/>
    <w:rsid w:val="0E664FCA"/>
    <w:rsid w:val="0E76520D"/>
    <w:rsid w:val="0E8D07A9"/>
    <w:rsid w:val="0EBC4BEA"/>
    <w:rsid w:val="0EC341CA"/>
    <w:rsid w:val="0EE505E5"/>
    <w:rsid w:val="0EF136E7"/>
    <w:rsid w:val="0F073DDF"/>
    <w:rsid w:val="0F8A4A20"/>
    <w:rsid w:val="0FB83603"/>
    <w:rsid w:val="0FF3288D"/>
    <w:rsid w:val="1006196F"/>
    <w:rsid w:val="1008458B"/>
    <w:rsid w:val="102E1B18"/>
    <w:rsid w:val="103C2486"/>
    <w:rsid w:val="104F21BA"/>
    <w:rsid w:val="105932D2"/>
    <w:rsid w:val="109E7A95"/>
    <w:rsid w:val="10C1378A"/>
    <w:rsid w:val="10E8616A"/>
    <w:rsid w:val="11B30526"/>
    <w:rsid w:val="11C72224"/>
    <w:rsid w:val="11E57B67"/>
    <w:rsid w:val="12081A72"/>
    <w:rsid w:val="12217B86"/>
    <w:rsid w:val="12485112"/>
    <w:rsid w:val="12C22DBF"/>
    <w:rsid w:val="12C34799"/>
    <w:rsid w:val="12C91102"/>
    <w:rsid w:val="12CD386A"/>
    <w:rsid w:val="131E7C21"/>
    <w:rsid w:val="13272F7A"/>
    <w:rsid w:val="132C233E"/>
    <w:rsid w:val="13390EFF"/>
    <w:rsid w:val="134F0723"/>
    <w:rsid w:val="13645F7C"/>
    <w:rsid w:val="139E0D62"/>
    <w:rsid w:val="14847F58"/>
    <w:rsid w:val="14D16AE1"/>
    <w:rsid w:val="150F3CC6"/>
    <w:rsid w:val="151B6B0E"/>
    <w:rsid w:val="15761F97"/>
    <w:rsid w:val="15997A33"/>
    <w:rsid w:val="163B0AEA"/>
    <w:rsid w:val="16781D3E"/>
    <w:rsid w:val="167C538B"/>
    <w:rsid w:val="16A56DF3"/>
    <w:rsid w:val="16BE56D5"/>
    <w:rsid w:val="17190E2C"/>
    <w:rsid w:val="179078A2"/>
    <w:rsid w:val="17B14DDB"/>
    <w:rsid w:val="17B15508"/>
    <w:rsid w:val="17E91222"/>
    <w:rsid w:val="17EF1998"/>
    <w:rsid w:val="17F6116D"/>
    <w:rsid w:val="18083A36"/>
    <w:rsid w:val="182E0907"/>
    <w:rsid w:val="187A7FF0"/>
    <w:rsid w:val="1885220C"/>
    <w:rsid w:val="189746FE"/>
    <w:rsid w:val="18D27471"/>
    <w:rsid w:val="18D47700"/>
    <w:rsid w:val="18DA45EA"/>
    <w:rsid w:val="18F41B50"/>
    <w:rsid w:val="199724DC"/>
    <w:rsid w:val="19A10856"/>
    <w:rsid w:val="19D0278A"/>
    <w:rsid w:val="19D21766"/>
    <w:rsid w:val="1A491A28"/>
    <w:rsid w:val="1AB175CD"/>
    <w:rsid w:val="1B324BB2"/>
    <w:rsid w:val="1B416BA3"/>
    <w:rsid w:val="1B633F67"/>
    <w:rsid w:val="1BB9498B"/>
    <w:rsid w:val="1BD66FBC"/>
    <w:rsid w:val="1C287DEC"/>
    <w:rsid w:val="1C330D81"/>
    <w:rsid w:val="1CAD0994"/>
    <w:rsid w:val="1CCC4B92"/>
    <w:rsid w:val="1CD13F56"/>
    <w:rsid w:val="1CDF48C5"/>
    <w:rsid w:val="1CE4012E"/>
    <w:rsid w:val="1CFA525B"/>
    <w:rsid w:val="1D7C2114"/>
    <w:rsid w:val="1D8D60CF"/>
    <w:rsid w:val="1D9B6A3E"/>
    <w:rsid w:val="1DC53ABB"/>
    <w:rsid w:val="1DC72423"/>
    <w:rsid w:val="1DCD471E"/>
    <w:rsid w:val="1E2F362A"/>
    <w:rsid w:val="1E4F2C3F"/>
    <w:rsid w:val="1EB83620"/>
    <w:rsid w:val="1EC338AC"/>
    <w:rsid w:val="1F0C571A"/>
    <w:rsid w:val="1F330F4D"/>
    <w:rsid w:val="1F4D1FBA"/>
    <w:rsid w:val="1F8D685B"/>
    <w:rsid w:val="1F9E45C4"/>
    <w:rsid w:val="1FD7009C"/>
    <w:rsid w:val="1FE12702"/>
    <w:rsid w:val="204A474C"/>
    <w:rsid w:val="2059498F"/>
    <w:rsid w:val="20A40DCE"/>
    <w:rsid w:val="20E93F65"/>
    <w:rsid w:val="21076199"/>
    <w:rsid w:val="21133DFA"/>
    <w:rsid w:val="219A700D"/>
    <w:rsid w:val="21B207FA"/>
    <w:rsid w:val="21E87D78"/>
    <w:rsid w:val="223876B6"/>
    <w:rsid w:val="226715E5"/>
    <w:rsid w:val="228026A7"/>
    <w:rsid w:val="228A0E2F"/>
    <w:rsid w:val="23111551"/>
    <w:rsid w:val="234C3785"/>
    <w:rsid w:val="23582CDC"/>
    <w:rsid w:val="23713D9D"/>
    <w:rsid w:val="237613B4"/>
    <w:rsid w:val="23897791"/>
    <w:rsid w:val="242332EA"/>
    <w:rsid w:val="245B6F27"/>
    <w:rsid w:val="246622E9"/>
    <w:rsid w:val="246758CC"/>
    <w:rsid w:val="24AB32DF"/>
    <w:rsid w:val="24C26FA6"/>
    <w:rsid w:val="24C745BD"/>
    <w:rsid w:val="24C7636B"/>
    <w:rsid w:val="25205A7B"/>
    <w:rsid w:val="254C6870"/>
    <w:rsid w:val="255B2F57"/>
    <w:rsid w:val="25875AFA"/>
    <w:rsid w:val="258C4EBE"/>
    <w:rsid w:val="25D52D09"/>
    <w:rsid w:val="25F212E3"/>
    <w:rsid w:val="261349AE"/>
    <w:rsid w:val="26284BE7"/>
    <w:rsid w:val="263E08AF"/>
    <w:rsid w:val="264F6618"/>
    <w:rsid w:val="26501A05"/>
    <w:rsid w:val="265C3B44"/>
    <w:rsid w:val="26864C6D"/>
    <w:rsid w:val="26A5092E"/>
    <w:rsid w:val="26C708A4"/>
    <w:rsid w:val="26E70C9F"/>
    <w:rsid w:val="26ED5E31"/>
    <w:rsid w:val="2706213A"/>
    <w:rsid w:val="27233601"/>
    <w:rsid w:val="27985D9D"/>
    <w:rsid w:val="27C272BD"/>
    <w:rsid w:val="2818512F"/>
    <w:rsid w:val="2867051D"/>
    <w:rsid w:val="28846321"/>
    <w:rsid w:val="28887BBF"/>
    <w:rsid w:val="28FE60D3"/>
    <w:rsid w:val="291E0523"/>
    <w:rsid w:val="29363ABF"/>
    <w:rsid w:val="29BD5F8E"/>
    <w:rsid w:val="29D82DC8"/>
    <w:rsid w:val="29E96D83"/>
    <w:rsid w:val="2A036979"/>
    <w:rsid w:val="2A4D72C0"/>
    <w:rsid w:val="2A5E32CD"/>
    <w:rsid w:val="2A8020CA"/>
    <w:rsid w:val="2AA809EC"/>
    <w:rsid w:val="2AAD433F"/>
    <w:rsid w:val="2AE412F9"/>
    <w:rsid w:val="2B0A6E72"/>
    <w:rsid w:val="2B2B6040"/>
    <w:rsid w:val="2B2E7A6E"/>
    <w:rsid w:val="2B4324C3"/>
    <w:rsid w:val="2B5E146E"/>
    <w:rsid w:val="2B6F5066"/>
    <w:rsid w:val="2B8C3E6A"/>
    <w:rsid w:val="2B9A5E01"/>
    <w:rsid w:val="2B9D7E25"/>
    <w:rsid w:val="2BA50A88"/>
    <w:rsid w:val="2BAC1E16"/>
    <w:rsid w:val="2BBB2606"/>
    <w:rsid w:val="2BEA0B91"/>
    <w:rsid w:val="2BFD1E30"/>
    <w:rsid w:val="2C1F083A"/>
    <w:rsid w:val="2C8B5ED0"/>
    <w:rsid w:val="2CA86A82"/>
    <w:rsid w:val="2D485B6F"/>
    <w:rsid w:val="2D736C6D"/>
    <w:rsid w:val="2D834DF9"/>
    <w:rsid w:val="2DC378EB"/>
    <w:rsid w:val="2E254102"/>
    <w:rsid w:val="2E513149"/>
    <w:rsid w:val="2E876B6B"/>
    <w:rsid w:val="2E976DAE"/>
    <w:rsid w:val="2EA81E7D"/>
    <w:rsid w:val="2F0B2942"/>
    <w:rsid w:val="2F3F6412"/>
    <w:rsid w:val="2F634EE2"/>
    <w:rsid w:val="2FE6330A"/>
    <w:rsid w:val="30155549"/>
    <w:rsid w:val="309D61D2"/>
    <w:rsid w:val="30CA4E30"/>
    <w:rsid w:val="30EC0F07"/>
    <w:rsid w:val="31210BB1"/>
    <w:rsid w:val="31462D0D"/>
    <w:rsid w:val="31486DB5"/>
    <w:rsid w:val="314D19A6"/>
    <w:rsid w:val="315C42DF"/>
    <w:rsid w:val="315C7E3B"/>
    <w:rsid w:val="31CF60D1"/>
    <w:rsid w:val="32096215"/>
    <w:rsid w:val="32180206"/>
    <w:rsid w:val="3244100F"/>
    <w:rsid w:val="32607DFF"/>
    <w:rsid w:val="32AB107A"/>
    <w:rsid w:val="32C43EEA"/>
    <w:rsid w:val="32DA195F"/>
    <w:rsid w:val="3302726F"/>
    <w:rsid w:val="33384FA4"/>
    <w:rsid w:val="33773E94"/>
    <w:rsid w:val="33DE547F"/>
    <w:rsid w:val="343D68CB"/>
    <w:rsid w:val="344C23E9"/>
    <w:rsid w:val="34963664"/>
    <w:rsid w:val="34DF18A1"/>
    <w:rsid w:val="34F14D3E"/>
    <w:rsid w:val="350F0945"/>
    <w:rsid w:val="351D4414"/>
    <w:rsid w:val="357F5A7F"/>
    <w:rsid w:val="358A766C"/>
    <w:rsid w:val="35BF175E"/>
    <w:rsid w:val="35C83CF1"/>
    <w:rsid w:val="35D42696"/>
    <w:rsid w:val="36533F02"/>
    <w:rsid w:val="36567F90"/>
    <w:rsid w:val="36687282"/>
    <w:rsid w:val="368D6CE8"/>
    <w:rsid w:val="369B31B3"/>
    <w:rsid w:val="36CF10AF"/>
    <w:rsid w:val="36D45023"/>
    <w:rsid w:val="37021484"/>
    <w:rsid w:val="370276FA"/>
    <w:rsid w:val="37152977"/>
    <w:rsid w:val="37184804"/>
    <w:rsid w:val="37250D2B"/>
    <w:rsid w:val="372C02AF"/>
    <w:rsid w:val="376D0FF4"/>
    <w:rsid w:val="376E2676"/>
    <w:rsid w:val="377E2BE9"/>
    <w:rsid w:val="378E2D18"/>
    <w:rsid w:val="379655A3"/>
    <w:rsid w:val="37A34A15"/>
    <w:rsid w:val="37BD53AB"/>
    <w:rsid w:val="37D01583"/>
    <w:rsid w:val="37F963E3"/>
    <w:rsid w:val="38151BEF"/>
    <w:rsid w:val="382F0057"/>
    <w:rsid w:val="38635F53"/>
    <w:rsid w:val="386B4E07"/>
    <w:rsid w:val="38786A21"/>
    <w:rsid w:val="38855EC9"/>
    <w:rsid w:val="38961E84"/>
    <w:rsid w:val="38B30C88"/>
    <w:rsid w:val="38DE55D9"/>
    <w:rsid w:val="393671C3"/>
    <w:rsid w:val="39402362"/>
    <w:rsid w:val="3A015A23"/>
    <w:rsid w:val="3A797CAF"/>
    <w:rsid w:val="3A970136"/>
    <w:rsid w:val="3AD963AC"/>
    <w:rsid w:val="3ADF6BB1"/>
    <w:rsid w:val="3B290E0D"/>
    <w:rsid w:val="3B3D6F2F"/>
    <w:rsid w:val="3B675D5A"/>
    <w:rsid w:val="3B7A783B"/>
    <w:rsid w:val="3BDF3B42"/>
    <w:rsid w:val="3BEC4ABF"/>
    <w:rsid w:val="3BF07AFD"/>
    <w:rsid w:val="3BF82E56"/>
    <w:rsid w:val="3C335C3C"/>
    <w:rsid w:val="3C3C5FDA"/>
    <w:rsid w:val="3C591B47"/>
    <w:rsid w:val="3C933692"/>
    <w:rsid w:val="3C9F3165"/>
    <w:rsid w:val="3CDE0E97"/>
    <w:rsid w:val="3DB159B2"/>
    <w:rsid w:val="3DC41242"/>
    <w:rsid w:val="3DCF1954"/>
    <w:rsid w:val="3DD354B8"/>
    <w:rsid w:val="3DFA2EB5"/>
    <w:rsid w:val="3E2B70F8"/>
    <w:rsid w:val="3E791760"/>
    <w:rsid w:val="3EC93A36"/>
    <w:rsid w:val="3F1243AB"/>
    <w:rsid w:val="3F160C14"/>
    <w:rsid w:val="3F5E56C6"/>
    <w:rsid w:val="3F724C94"/>
    <w:rsid w:val="3FAE3F57"/>
    <w:rsid w:val="3FC6085F"/>
    <w:rsid w:val="401B2575"/>
    <w:rsid w:val="404A4339"/>
    <w:rsid w:val="408803E4"/>
    <w:rsid w:val="40B21825"/>
    <w:rsid w:val="40CE4185"/>
    <w:rsid w:val="40D45C40"/>
    <w:rsid w:val="40D73D5F"/>
    <w:rsid w:val="40D93D08"/>
    <w:rsid w:val="40E534AB"/>
    <w:rsid w:val="40EE1890"/>
    <w:rsid w:val="412F731A"/>
    <w:rsid w:val="416F0EAD"/>
    <w:rsid w:val="417B430D"/>
    <w:rsid w:val="4180170D"/>
    <w:rsid w:val="41D91034"/>
    <w:rsid w:val="41F30347"/>
    <w:rsid w:val="420E6F2F"/>
    <w:rsid w:val="42186000"/>
    <w:rsid w:val="42187DAE"/>
    <w:rsid w:val="422E137F"/>
    <w:rsid w:val="4230318E"/>
    <w:rsid w:val="4250579A"/>
    <w:rsid w:val="42552DB0"/>
    <w:rsid w:val="427E2307"/>
    <w:rsid w:val="42CB1623"/>
    <w:rsid w:val="42F00D2B"/>
    <w:rsid w:val="432B1CC4"/>
    <w:rsid w:val="435412BA"/>
    <w:rsid w:val="437A4E3E"/>
    <w:rsid w:val="438F22F2"/>
    <w:rsid w:val="43C57AC2"/>
    <w:rsid w:val="440202B5"/>
    <w:rsid w:val="443B5FD6"/>
    <w:rsid w:val="447B4624"/>
    <w:rsid w:val="4488746D"/>
    <w:rsid w:val="44C71617"/>
    <w:rsid w:val="44EE4DF6"/>
    <w:rsid w:val="45244CBC"/>
    <w:rsid w:val="454809AA"/>
    <w:rsid w:val="45560921"/>
    <w:rsid w:val="45A55DFD"/>
    <w:rsid w:val="45B97A0D"/>
    <w:rsid w:val="45CF2E79"/>
    <w:rsid w:val="45E16709"/>
    <w:rsid w:val="45F25354"/>
    <w:rsid w:val="46027693"/>
    <w:rsid w:val="46084CE9"/>
    <w:rsid w:val="46113492"/>
    <w:rsid w:val="464A5E88"/>
    <w:rsid w:val="465F5FAB"/>
    <w:rsid w:val="4662784A"/>
    <w:rsid w:val="466622E2"/>
    <w:rsid w:val="467F1EF6"/>
    <w:rsid w:val="469F5432"/>
    <w:rsid w:val="47A53E92"/>
    <w:rsid w:val="47B440D5"/>
    <w:rsid w:val="4840005F"/>
    <w:rsid w:val="485D41B8"/>
    <w:rsid w:val="48E00EFA"/>
    <w:rsid w:val="490E1F0B"/>
    <w:rsid w:val="492E7EB7"/>
    <w:rsid w:val="49437E06"/>
    <w:rsid w:val="497C7C92"/>
    <w:rsid w:val="49825388"/>
    <w:rsid w:val="49E8450A"/>
    <w:rsid w:val="49EB7B56"/>
    <w:rsid w:val="49F15983"/>
    <w:rsid w:val="4A1F119F"/>
    <w:rsid w:val="4A851D59"/>
    <w:rsid w:val="4A871F75"/>
    <w:rsid w:val="4AF76666"/>
    <w:rsid w:val="4B1A06F3"/>
    <w:rsid w:val="4B3D4425"/>
    <w:rsid w:val="4B6C12E7"/>
    <w:rsid w:val="4BE56F53"/>
    <w:rsid w:val="4C003D8D"/>
    <w:rsid w:val="4C261319"/>
    <w:rsid w:val="4C7E6688"/>
    <w:rsid w:val="4CC96874"/>
    <w:rsid w:val="4CCA7EF7"/>
    <w:rsid w:val="4D2515D1"/>
    <w:rsid w:val="4D2A3F2B"/>
    <w:rsid w:val="4D6E6C73"/>
    <w:rsid w:val="4D743088"/>
    <w:rsid w:val="4D782049"/>
    <w:rsid w:val="4D7F33D7"/>
    <w:rsid w:val="4DC42B98"/>
    <w:rsid w:val="4E0538DC"/>
    <w:rsid w:val="4E453CD9"/>
    <w:rsid w:val="4E577EB0"/>
    <w:rsid w:val="4E872543"/>
    <w:rsid w:val="4E93713A"/>
    <w:rsid w:val="4F195165"/>
    <w:rsid w:val="4F714FA1"/>
    <w:rsid w:val="4F797EA5"/>
    <w:rsid w:val="4FA64C4B"/>
    <w:rsid w:val="4FDB77FC"/>
    <w:rsid w:val="4FE319FB"/>
    <w:rsid w:val="4FE6773D"/>
    <w:rsid w:val="5015592D"/>
    <w:rsid w:val="503A57CF"/>
    <w:rsid w:val="503F29AA"/>
    <w:rsid w:val="504A1A7A"/>
    <w:rsid w:val="504B57F2"/>
    <w:rsid w:val="506B7C43"/>
    <w:rsid w:val="507E7976"/>
    <w:rsid w:val="50C17863"/>
    <w:rsid w:val="50F25C6E"/>
    <w:rsid w:val="51167BAE"/>
    <w:rsid w:val="5167040A"/>
    <w:rsid w:val="517F5754"/>
    <w:rsid w:val="51F55A16"/>
    <w:rsid w:val="520D0FB1"/>
    <w:rsid w:val="52157E66"/>
    <w:rsid w:val="524E5126"/>
    <w:rsid w:val="52AA6800"/>
    <w:rsid w:val="52D61371"/>
    <w:rsid w:val="53283BC9"/>
    <w:rsid w:val="53D53D51"/>
    <w:rsid w:val="53EE6BC1"/>
    <w:rsid w:val="53F86A2E"/>
    <w:rsid w:val="540909B7"/>
    <w:rsid w:val="5411465D"/>
    <w:rsid w:val="544E58B1"/>
    <w:rsid w:val="545F361A"/>
    <w:rsid w:val="547901C1"/>
    <w:rsid w:val="54C87412"/>
    <w:rsid w:val="54DC2EBD"/>
    <w:rsid w:val="55175CA3"/>
    <w:rsid w:val="555A1F58"/>
    <w:rsid w:val="5560589C"/>
    <w:rsid w:val="558A46C7"/>
    <w:rsid w:val="55C951EF"/>
    <w:rsid w:val="55DF2C65"/>
    <w:rsid w:val="55EA4E82"/>
    <w:rsid w:val="561F7505"/>
    <w:rsid w:val="564231F4"/>
    <w:rsid w:val="565F5B54"/>
    <w:rsid w:val="56674A08"/>
    <w:rsid w:val="56840F68"/>
    <w:rsid w:val="56D20841"/>
    <w:rsid w:val="56D26326"/>
    <w:rsid w:val="56F269C8"/>
    <w:rsid w:val="570A087C"/>
    <w:rsid w:val="57106E4E"/>
    <w:rsid w:val="57394D8A"/>
    <w:rsid w:val="57544F8D"/>
    <w:rsid w:val="57802226"/>
    <w:rsid w:val="57AD1C83"/>
    <w:rsid w:val="57BB14B0"/>
    <w:rsid w:val="57DD31D4"/>
    <w:rsid w:val="57E06B2A"/>
    <w:rsid w:val="5818245E"/>
    <w:rsid w:val="5886386C"/>
    <w:rsid w:val="588F58B8"/>
    <w:rsid w:val="589663A1"/>
    <w:rsid w:val="58E63645"/>
    <w:rsid w:val="58EF1411"/>
    <w:rsid w:val="58FD3402"/>
    <w:rsid w:val="59133D07"/>
    <w:rsid w:val="594159E5"/>
    <w:rsid w:val="59A044B9"/>
    <w:rsid w:val="59B83EF9"/>
    <w:rsid w:val="5A191E5F"/>
    <w:rsid w:val="5AAE2C06"/>
    <w:rsid w:val="5ABC17C7"/>
    <w:rsid w:val="5AE605F2"/>
    <w:rsid w:val="5AFC7E15"/>
    <w:rsid w:val="5B307ABF"/>
    <w:rsid w:val="5B5639C9"/>
    <w:rsid w:val="5BEF0E40"/>
    <w:rsid w:val="5BF1724E"/>
    <w:rsid w:val="5C2C472A"/>
    <w:rsid w:val="5C78796F"/>
    <w:rsid w:val="5C7B1A0A"/>
    <w:rsid w:val="5C91458D"/>
    <w:rsid w:val="5CB84210"/>
    <w:rsid w:val="5CCD1B92"/>
    <w:rsid w:val="5CCE57E1"/>
    <w:rsid w:val="5DA86032"/>
    <w:rsid w:val="5DB04EE7"/>
    <w:rsid w:val="5E0B0912"/>
    <w:rsid w:val="5E652175"/>
    <w:rsid w:val="5ED74E21"/>
    <w:rsid w:val="5F41673E"/>
    <w:rsid w:val="5F9B218C"/>
    <w:rsid w:val="5F9C3975"/>
    <w:rsid w:val="5FB46F10"/>
    <w:rsid w:val="5FFC0181"/>
    <w:rsid w:val="604D4C6F"/>
    <w:rsid w:val="606F1089"/>
    <w:rsid w:val="608763D3"/>
    <w:rsid w:val="60AF1486"/>
    <w:rsid w:val="60D66841"/>
    <w:rsid w:val="60FB291D"/>
    <w:rsid w:val="611655F8"/>
    <w:rsid w:val="611B4D6D"/>
    <w:rsid w:val="612E684E"/>
    <w:rsid w:val="61565DA5"/>
    <w:rsid w:val="61736957"/>
    <w:rsid w:val="619C7C5C"/>
    <w:rsid w:val="61D76EE6"/>
    <w:rsid w:val="61DB6D9C"/>
    <w:rsid w:val="61F47A8C"/>
    <w:rsid w:val="62157B4E"/>
    <w:rsid w:val="62285994"/>
    <w:rsid w:val="626545E7"/>
    <w:rsid w:val="62757F11"/>
    <w:rsid w:val="62F51D1A"/>
    <w:rsid w:val="63212B0F"/>
    <w:rsid w:val="633F2F95"/>
    <w:rsid w:val="636B3D8A"/>
    <w:rsid w:val="636C5ADF"/>
    <w:rsid w:val="63780255"/>
    <w:rsid w:val="63C65464"/>
    <w:rsid w:val="641B57B0"/>
    <w:rsid w:val="64432611"/>
    <w:rsid w:val="64552344"/>
    <w:rsid w:val="64630F05"/>
    <w:rsid w:val="64AA2690"/>
    <w:rsid w:val="64AA6967"/>
    <w:rsid w:val="64B8434A"/>
    <w:rsid w:val="64C260CB"/>
    <w:rsid w:val="64C574CA"/>
    <w:rsid w:val="64EF072B"/>
    <w:rsid w:val="652F7039"/>
    <w:rsid w:val="656B5ACE"/>
    <w:rsid w:val="65A50572"/>
    <w:rsid w:val="65B65064"/>
    <w:rsid w:val="65BE7228"/>
    <w:rsid w:val="65C028F8"/>
    <w:rsid w:val="65CB0B10"/>
    <w:rsid w:val="66384800"/>
    <w:rsid w:val="665F74AA"/>
    <w:rsid w:val="66A9783B"/>
    <w:rsid w:val="67191D4F"/>
    <w:rsid w:val="6744501E"/>
    <w:rsid w:val="67544B35"/>
    <w:rsid w:val="67A32971"/>
    <w:rsid w:val="68297D70"/>
    <w:rsid w:val="683E4BED"/>
    <w:rsid w:val="685272C6"/>
    <w:rsid w:val="68637D78"/>
    <w:rsid w:val="686D2352"/>
    <w:rsid w:val="687F5BE1"/>
    <w:rsid w:val="68CB15BB"/>
    <w:rsid w:val="68E7605B"/>
    <w:rsid w:val="68ED5241"/>
    <w:rsid w:val="68FD36D6"/>
    <w:rsid w:val="69390486"/>
    <w:rsid w:val="694330B3"/>
    <w:rsid w:val="696A0640"/>
    <w:rsid w:val="69DF2DDC"/>
    <w:rsid w:val="69F30635"/>
    <w:rsid w:val="6A4D41E9"/>
    <w:rsid w:val="6A537326"/>
    <w:rsid w:val="6A701C86"/>
    <w:rsid w:val="6A7C062B"/>
    <w:rsid w:val="6A8219B9"/>
    <w:rsid w:val="6AA06A0F"/>
    <w:rsid w:val="6AA45DD3"/>
    <w:rsid w:val="6AA638F9"/>
    <w:rsid w:val="6AFE414A"/>
    <w:rsid w:val="6B405AFC"/>
    <w:rsid w:val="6B601CFA"/>
    <w:rsid w:val="6B633598"/>
    <w:rsid w:val="6B945E48"/>
    <w:rsid w:val="6BAC13E3"/>
    <w:rsid w:val="6BBB33D4"/>
    <w:rsid w:val="6BC73B27"/>
    <w:rsid w:val="6BD12BF8"/>
    <w:rsid w:val="6C0F54CE"/>
    <w:rsid w:val="6C44786E"/>
    <w:rsid w:val="6C67530A"/>
    <w:rsid w:val="6C705F6D"/>
    <w:rsid w:val="6CD73AC3"/>
    <w:rsid w:val="6CDC3602"/>
    <w:rsid w:val="6CE55E74"/>
    <w:rsid w:val="6CED5810"/>
    <w:rsid w:val="6D156B14"/>
    <w:rsid w:val="6D7E46BA"/>
    <w:rsid w:val="6D8D0DA1"/>
    <w:rsid w:val="6DC72505"/>
    <w:rsid w:val="6DC81DD9"/>
    <w:rsid w:val="6E0A23F1"/>
    <w:rsid w:val="6E4678CD"/>
    <w:rsid w:val="6E9028F6"/>
    <w:rsid w:val="6ECE341F"/>
    <w:rsid w:val="6ED206E8"/>
    <w:rsid w:val="6F8D6E36"/>
    <w:rsid w:val="6FF173C5"/>
    <w:rsid w:val="70422316"/>
    <w:rsid w:val="707149AA"/>
    <w:rsid w:val="70D016D0"/>
    <w:rsid w:val="70F53B43"/>
    <w:rsid w:val="710F4B4A"/>
    <w:rsid w:val="713C4FB8"/>
    <w:rsid w:val="71A55100"/>
    <w:rsid w:val="71BE59CD"/>
    <w:rsid w:val="721645D1"/>
    <w:rsid w:val="72B62B48"/>
    <w:rsid w:val="72FA02C7"/>
    <w:rsid w:val="73774085"/>
    <w:rsid w:val="738F6E40"/>
    <w:rsid w:val="73BE7F06"/>
    <w:rsid w:val="73C82B32"/>
    <w:rsid w:val="73D47729"/>
    <w:rsid w:val="73D72D76"/>
    <w:rsid w:val="73E07E7C"/>
    <w:rsid w:val="73ED4347"/>
    <w:rsid w:val="73EF1E6D"/>
    <w:rsid w:val="74220495"/>
    <w:rsid w:val="743C0E2B"/>
    <w:rsid w:val="74FA4F6E"/>
    <w:rsid w:val="7507768A"/>
    <w:rsid w:val="7546457C"/>
    <w:rsid w:val="75B23A9A"/>
    <w:rsid w:val="75B3511C"/>
    <w:rsid w:val="75F25C45"/>
    <w:rsid w:val="764D37C3"/>
    <w:rsid w:val="76B64EC4"/>
    <w:rsid w:val="7718792D"/>
    <w:rsid w:val="77560455"/>
    <w:rsid w:val="77A318EC"/>
    <w:rsid w:val="77D870BC"/>
    <w:rsid w:val="78340796"/>
    <w:rsid w:val="78AD22F7"/>
    <w:rsid w:val="78F910FB"/>
    <w:rsid w:val="794146B9"/>
    <w:rsid w:val="79A715B3"/>
    <w:rsid w:val="79B75069"/>
    <w:rsid w:val="79B9661A"/>
    <w:rsid w:val="79BC5D3D"/>
    <w:rsid w:val="79E354B7"/>
    <w:rsid w:val="7A0B7A1A"/>
    <w:rsid w:val="7A3E76AA"/>
    <w:rsid w:val="7A862E00"/>
    <w:rsid w:val="7A99244D"/>
    <w:rsid w:val="7AC96BBD"/>
    <w:rsid w:val="7ADB139D"/>
    <w:rsid w:val="7B226FCC"/>
    <w:rsid w:val="7B292109"/>
    <w:rsid w:val="7B3D7E48"/>
    <w:rsid w:val="7B7F7F7B"/>
    <w:rsid w:val="7BBE0F80"/>
    <w:rsid w:val="7C3614E6"/>
    <w:rsid w:val="7D012C11"/>
    <w:rsid w:val="7D2302BB"/>
    <w:rsid w:val="7D6B3013"/>
    <w:rsid w:val="7D926753"/>
    <w:rsid w:val="7DAA5057"/>
    <w:rsid w:val="7DC75C09"/>
    <w:rsid w:val="7DD70A02"/>
    <w:rsid w:val="7E081063"/>
    <w:rsid w:val="7E1150D6"/>
    <w:rsid w:val="7E7F4735"/>
    <w:rsid w:val="7EAF6DC9"/>
    <w:rsid w:val="7ECA3C03"/>
    <w:rsid w:val="7EEC1DCB"/>
    <w:rsid w:val="7EF90044"/>
    <w:rsid w:val="7F032C71"/>
    <w:rsid w:val="7F141322"/>
    <w:rsid w:val="7F3379FA"/>
    <w:rsid w:val="7F552A10"/>
    <w:rsid w:val="7F5D4A77"/>
    <w:rsid w:val="7F7D0C75"/>
    <w:rsid w:val="7F7E725C"/>
    <w:rsid w:val="7FA91A6A"/>
    <w:rsid w:val="7FC95651"/>
    <w:rsid w:val="7FDC0EF6"/>
    <w:rsid w:val="7FDF723A"/>
    <w:rsid w:val="7FF47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100" w:beforeAutospacing="1" w:after="100" w:afterAutospacing="1"/>
      <w:jc w:val="left"/>
    </w:pPr>
    <w:rPr>
      <w:rFonts w:ascii="Calibri" w:hAnsi="Calibri"/>
      <w:kern w:val="0"/>
      <w:sz w:val="24"/>
      <w:szCs w:val="22"/>
    </w:rPr>
  </w:style>
  <w:style w:type="character" w:styleId="15">
    <w:name w:val="Strong"/>
    <w:basedOn w:val="14"/>
    <w:qFormat/>
    <w:uiPriority w:val="0"/>
    <w:rPr>
      <w:b/>
    </w:rPr>
  </w:style>
  <w:style w:type="character" w:styleId="16">
    <w:name w:val="page number"/>
    <w:basedOn w:val="1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f4e97bdb-c2f6-4ee5-9b04-f83483e13359</errorID>
      <errorWord>于在</errorWord>
      <group>L1_Word</group>
      <groupName>字词问题</groupName>
      <ability>L2_Typo</ability>
      <abilityName>字词错误</abilityName>
      <candidateList>
        <item>于</item>
      </candidateList>
      <explain/>
      <paraID>73D468DC</paraID>
      <start>5</start>
      <end>6</end>
      <status>modified</status>
      <modifiedWord>于</modifiedWord>
      <trackRevisions>false</trackRevisions>
    </reviewItem>
    <reviewItem>
      <errorID>eed5b308-8782-44c1-bd40-a421eb6fd819</errorID>
      <errorWord>：</errorWord>
      <group>L1_Punc</group>
      <groupName>标点问题</groupName>
      <ability>L2_Punc</ability>
      <abilityName>标点符号检查</abilityName>
      <candidateList>
        <item>。</item>
      </candidateList>
      <explain/>
      <paraID>73D468DC</paraID>
      <start>74</start>
      <end>75</end>
      <status>modified</status>
      <modifiedWord>。</modifiedWord>
      <trackRevisions>false</trackRevisions>
    </reviewItem>
    <reviewItem>
      <errorID>dcb4d299-4d43-4823-9f84-5519c799af04</errorID>
      <errorWord>一岗双责</errorWord>
      <group>L1_Political</group>
      <groupName>政治性问题</groupName>
      <ability>L2_Keyword</ability>
      <abilityName>固定表述</abilityName>
      <candidateList>
        <item>“一岗双责”</item>
      </candidateList>
      <explain>注意检查当前固定表述标点是否使用规范。</explain>
      <paraID>565E3754</paraID>
      <start>33</start>
      <end>37</end>
      <status>ignored</status>
      <modifiedWord/>
      <trackRevisions>false</trackRevisions>
    </reviewItem>
    <reviewItem>
      <errorID>e8c19bdf-0fad-4659-8a2e-03febd1faeab</errorID>
      <errorWord>，</errorWord>
      <group>L1_Word</group>
      <groupName>字词问题</groupName>
      <ability>L2_Typo</ability>
      <abilityName>字词错误</abilityName>
      <candidateList>
        <item>和</item>
      </candidateList>
      <explain/>
      <paraID>7ADA57BC</paraID>
      <start>147</start>
      <end>148</end>
      <status>modified</status>
      <modifiedWord>和</modifiedWord>
      <trackRevisions>false</trackRevisions>
    </reviewItem>
    <reviewItem>
      <errorID>6e845092-8f36-47d2-a2e4-f2c6016ef9f4</errorID>
      <errorWord>三是</errorWord>
      <group>L1_Grammar</group>
      <groupName>语法问题</groupName>
      <ability>L2_Grammar</ability>
      <abilityName>语法错误</abilityName>
      <candidateList>
        <item>此外，在</item>
      </candidateList>
      <explain/>
      <paraID>77A944D7</paraID>
      <start>261</start>
      <end>263</end>
      <status>ignored</status>
      <modifiedWord/>
      <trackRevisions>false</trackRevisions>
    </reviewItem>
    <reviewItem>
      <errorID>b1edbf30-707d-4bed-bf23-6ced5e2f8686</errorID>
      <errorWord>本县</errorWord>
      <group>L1_Punc</group>
      <groupName>标点问题</groupName>
      <ability>L2_Punc</ability>
      <abilityName>标点符号检查</abilityName>
      <candidateList>
        <item>，本县</item>
      </candidateList>
      <explain/>
      <paraID>478283AB</paraID>
      <start>14</start>
      <end>17</end>
      <status>modified</status>
      <modifiedWord>，本县</modifiedWord>
      <trackRevisions>false</trackRevisions>
    </reviewItem>
    <reviewItem>
      <errorID>f2854156-2589-445f-b031-b199ec4bab0e</errorID>
      <errorWord>分设</errorWord>
      <group>L1_Word</group>
      <groupName>字词问题</groupName>
      <ability>L2_Typo</ability>
      <abilityName>字词错误</abilityName>
      <candidateList>
        <item>下设</item>
      </candidateList>
      <explain/>
      <paraID> 2CC8D8C</paraID>
      <start>23</start>
      <end>25</end>
      <status>ignored</status>
      <modifiedWord/>
      <trackRevisions>false</trackRevisions>
    </reviewItem>
    <reviewItem>
      <errorID>2db118ef-dcc2-44bf-bce2-a5549e7bfe3a</errorID>
      <errorWord>统筹</errorWord>
      <group>L1_Punc</group>
      <groupName>标点问题</groupName>
      <ability>L2_Punc</ability>
      <abilityName>标点符号检查</abilityName>
      <candidateList>
        <item>，统筹</item>
      </candidateList>
      <explain/>
      <paraID> 2CC8D8C</paraID>
      <start>45</start>
      <end>47</end>
      <status>ignored</status>
      <modifiedWord/>
      <trackRevisions>false</trackRevisions>
    </reviewItem>
    <reviewItem>
      <errorID>df134ee6-f48a-4eac-b4bc-bfdc2a90d8bc</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 2CC8D8C</paraID>
      <start>144</start>
      <end>148</end>
      <status>ignored</status>
      <modifiedWord/>
      <trackRevisions>false</trackRevisions>
    </reviewItem>
    <reviewItem>
      <errorID>4dbeb3d9-d739-4b3f-8eab-8ea228b7b9fe</errorID>
      <errorWord>党委政府</errorWord>
      <group>L1_Political</group>
      <groupName>政治性问题</groupName>
      <ability>L2_Keyword</ability>
      <abilityName>固定表述</abilityName>
      <candidateList>
        <item>党委、政府</item>
      </candidateList>
      <explain>注意检查当前固定表述标点是否使用规范。</explain>
      <paraID>3B3C2E9E</paraID>
      <start>35</start>
      <end>39</end>
      <status>ignored</status>
      <modifiedWord/>
      <trackRevisions>false</trackRevisions>
    </reviewItem>
    <reviewItem>
      <errorID>447df7ea-84ad-4dbf-92e1-bbbb22778e48</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527EE31A</paraID>
      <start>6</start>
      <end>10</end>
      <status>ignored</status>
      <modifiedWord/>
      <trackRevisions>false</trackRevisions>
    </reviewItem>
    <reviewItem>
      <errorID>5bb1625a-8f47-4e46-8568-8fece11ec66d</errorID>
      <errorWord>情况，并做好应急处置工作</errorWord>
      <group>L1_Grammar</group>
      <groupName>语法问题</groupName>
      <ability>L2_Grammar</ability>
      <abilityName>语法错误</abilityName>
      <candidateList>
        <item>情况</item>
      </candidateList>
      <explain/>
      <paraID>196ED6BF</paraID>
      <start>45</start>
      <end>57</end>
      <status>unmodified</status>
      <modifiedWord/>
      <trackRevisions>false</trackRevisions>
    </reviewItem>
    <reviewItem>
      <errorID>f8f3a355-a7f4-4442-8fc0-c37eb2ba5dca</errorID>
      <errorWord>卫生部</errorWord>
      <group>L1_Knowledge</group>
      <groupName>知识性问题</groupName>
      <ability>L2_Organization</ability>
      <abilityName>机构检查</abilityName>
      <candidateList/>
      <explain>2013年3月，根据《国务院关于提请审议国务院机构改革和职能转变方案》的议案，组建国家卫生和计划生育委员会，不再保留卫生部。2018年3月，中共中央印发了《深化党和国家机构改革方案》，组建国家卫生健康委员会，不再保留国家卫生和计划生育委员会。</explain>
      <paraID>5D3426C4</paraID>
      <start>13</start>
      <end>16</end>
      <status>unmodified</status>
      <modifiedWord/>
      <trackRevisions>false</trackRevisions>
    </reviewItem>
    <reviewItem>
      <errorID>1d93f9ab-a37d-431e-adf1-0d99534d5372</errorID>
      <errorWord>危险</errorWord>
      <group>L1_Grammar</group>
      <groupName>语法问题</groupName>
      <ability>L2_Grammar</ability>
      <abilityName>语法错误</abilityName>
      <candidateList>
        <item>以及危险</item>
      </candidateList>
      <explain/>
      <paraID>5780B57C</paraID>
      <start>20</start>
      <end>22</end>
      <status>unmodified</status>
      <modifiedWord/>
      <trackRevisions>false</trackRevisions>
    </reviewItem>
    <reviewItem>
      <errorID>a620f9c2-5685-4804-af0c-6a1ef6642ce7</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77BB908A</paraID>
      <start>16</start>
      <end>20</end>
      <status>ignored</status>
      <modifiedWord/>
      <trackRevisions>false</trackRevisions>
    </reviewItem>
    <reviewItem>
      <errorID>c847e85e-1cdb-493b-9dbd-02cd0e320d11</errorID>
      <errorWord>和县</errorWord>
      <group>L1_Word</group>
      <groupName>字词问题</groupName>
      <ability>L2_Typo</ability>
      <abilityName>字词错误</abilityName>
      <candidateList>
        <item>以及县</item>
      </candidateList>
      <explain/>
      <paraID>14C7581B</paraID>
      <start>96</start>
      <end>98</end>
      <status>unmodified</status>
      <modifiedWord/>
      <trackRevisions>false</trackRevisions>
    </reviewItem>
    <reviewItem>
      <errorID>e9b78bdb-cfd0-4eb7-a01e-3f1bb9b70e6c</errorID>
      <errorWord>前</errorWord>
      <group>L1_Grammar</group>
      <groupName>语法问题</groupName>
      <ability>L2_Grammar</ability>
      <abilityName>语法错误</abilityName>
      <candidateList>
        <item>来临前</item>
      </candidateList>
      <explain/>
      <paraID> 8749E14</paraID>
      <start>28</start>
      <end>29</end>
      <status>unmodified</status>
      <modifiedWord/>
      <trackRevisions>false</trackRevisions>
    </reviewItem>
    <reviewItem>
      <errorID>dc89f6d4-2a02-4b99-bc30-e7d2085f0606</errorID>
      <errorWord>。</errorWord>
      <group>L1_Punc</group>
      <groupName>标点问题</groupName>
      <ability>L2_Punc</ability>
      <abilityName>标点符号检查</abilityName>
      <candidateList>
        <item>，</item>
      </candidateList>
      <explain/>
      <paraID> 8749E14</paraID>
      <start>35</start>
      <end>36</end>
      <status>unmodified</status>
      <modifiedWord/>
      <trackRevisions>false</trackRevisions>
    </reviewItem>
    <reviewItem>
      <errorID>d279b859-919b-4b53-bcb4-5af8027cda87</errorID>
      <errorWord>制订</errorWord>
      <group>L1_Word</group>
      <groupName>字词问题</groupName>
      <ability>L2_Typo</ability>
      <abilityName>字词错误</abilityName>
      <candidateList>
        <item>制定</item>
      </candidateList>
      <explain>〈动〉定出（法律、规程、政策等）：～宪法｜～学会章程。</explain>
      <paraID>6708165D</paraID>
      <start>65</start>
      <end>67</end>
      <status>unmodified</status>
      <modifiedWord/>
      <trackRevisions>false</trackRevisions>
    </reviewItem>
    <reviewItem>
      <errorID>a472fd8c-46c0-4880-b138-54876f43cc5e</errorID>
      <errorWord>前提</errorWord>
      <group>L1_Word</group>
      <groupName>字词问题</groupName>
      <ability>L2_Typo</ability>
      <abilityName>字词错误</abilityName>
      <candidateList>
        <item>情况</item>
      </candidateList>
      <explain/>
      <paraID>4C671225</paraID>
      <start>41</start>
      <end>43</end>
      <status>unmodified</status>
      <modifiedWord/>
      <trackRevisions>false</trackRevisions>
    </reviewItem>
    <reviewItem>
      <errorID>c4a2fc2a-ec3e-4a36-8bdd-2b387ccc7c33</errorID>
      <errorWord>县应</errorWord>
      <group>L1_Word</group>
      <groupName>字词问题</groupName>
      <ability>L2_Typo</ability>
      <abilityName>字词错误</abilityName>
      <candidateList>
        <item>县</item>
      </candidateList>
      <explain/>
      <paraID> BB99C91</paraID>
      <start>9</start>
      <end>11</end>
      <status>unmodified</status>
      <modifiedWord/>
      <trackRevisions>false</trackRevisions>
    </reviewItem>
    <reviewItem>
      <errorID>9e43ce4b-9ff6-4ac4-9e08-339fcfdc85ed</errorID>
      <errorWord>县应</errorWord>
      <group>L1_Word</group>
      <groupName>字词问题</groupName>
      <ability>L2_Typo</ability>
      <abilityName>字词错误</abilityName>
      <candidateList>
        <item>县</item>
      </candidateList>
      <explain/>
      <paraID> BB99C91</paraID>
      <start>20</start>
      <end>22</end>
      <status>unmodified</status>
      <modifiedWord/>
      <trackRevisions>false</trackRevisions>
    </reviewItem>
    <reviewItem>
      <errorID>4e2451ae-5209-4612-a428-49596bb10318</errorID>
      <errorWord>；</errorWord>
      <group>L1_Word</group>
      <groupName>字词问题</groupName>
      <ability>L2_Typo</ability>
      <abilityName>字词错误</abilityName>
      <candidateList>
        <item>；在</item>
      </candidateList>
      <explain/>
      <paraID> BB99C91</paraID>
      <start>196</start>
      <end>197</end>
      <status>unmodified</status>
      <modifiedWord/>
      <trackRevisions>false</trackRevisions>
    </reviewItem>
    <reviewItem>
      <errorID>4fb50c12-2dfe-4b07-afb8-1c20d47a8911</errorID>
      <errorWord>卫生防</errorWord>
      <group>L1_Word</group>
      <groupName>字词问题</groupName>
      <ability>L2_Typo</ability>
      <abilityName>字词错误</abilityName>
      <candidateList>
        <item>卫生防疫</item>
      </candidateList>
      <explain/>
      <paraID>559C2519</paraID>
      <start>8</start>
      <end>11</end>
      <status>unmodified</status>
      <modifiedWord/>
      <trackRevisions>false</trackRevisions>
    </reviewItem>
    <reviewItem>
      <errorID>afa56939-bee0-44a4-8048-dd670fa3de21</errorID>
      <errorWord>；</errorWord>
      <group>L1_Word</group>
      <groupName>字词问题</groupName>
      <ability>L2_Typo</ability>
      <abilityName>字词错误</abilityName>
      <candidateList>
        <item>；对</item>
      </candidateList>
      <explain/>
      <paraID>59F6FB94</paraID>
      <start>65</start>
      <end>66</end>
      <status>unmodified</status>
      <modifiedWord/>
      <trackRevisions>false</trackRevisions>
    </reviewItem>
    <reviewItem>
      <errorID>45a899fe-612f-423a-ab0e-c9a94191521a</errorID>
      <errorWord>：</errorWord>
      <group>L1_Punc</group>
      <groupName>标点问题</groupName>
      <ability>L2_Punc</ability>
      <abilityName>标点符号检查</abilityName>
      <candidateList>
        <item>。</item>
      </candidateList>
      <explain/>
      <paraID>286FD427</paraID>
      <start>12</start>
      <end>13</end>
      <status>unmodified</status>
      <modifiedWord/>
      <trackRevisions>false</trackRevisions>
    </reviewItem>
    <reviewItem>
      <errorID>13aa36d1-52fd-4914-ac54-45ab4ef56646</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7922992A</paraID>
      <start>114</start>
      <end>118</end>
      <status>ignored</status>
      <modifiedWord/>
      <trackRevisions>false</trackRevisions>
    </reviewItem>
    <reviewItem>
      <errorID>f32f4e8d-499c-49b6-bfa5-c81dc6322100</errorID>
      <errorWord>涉嫌</errorWord>
      <group>L1_Grammar</group>
      <groupName>语法问题</groupName>
      <ability>L2_Grammar</ability>
      <abilityName>语法错误</abilityName>
      <candidateList>
        <item>，将其涉嫌</item>
      </candidateList>
      <explain/>
      <paraID>54E357BE</paraID>
      <start>126</start>
      <end>128</end>
      <status>unmodified</status>
      <modifiedWord/>
      <trackRevisions>false</trackRevisions>
    </reviewItem>
    <reviewItem>
      <errorID>82908bdd-7381-4ce9-9808-ca5a6741c0b0</errorID>
      <errorWord>县人力资源和社会保障局</errorWord>
      <group>L1_Other</group>
      <groupName>其他问题</groupName>
      <ability>L2_Consistency</ability>
      <abilityName>一致性检查</abilityName>
      <candidateList>
        <item>县人社局</item>
      </candidateList>
      <explain>实体一致性问题，文档中多处使用‘县人社局’，此处‘县人力资源和社会保障局’与其他表述不一致</explain>
      <paraID>178E0664</paraID>
      <start>12</start>
      <end>23</end>
      <status>unmodified</status>
      <modifiedWord/>
      <trackRevisions>false</trackRevisions>
    </reviewItem>
    <reviewItem>
      <errorID>7792314a-0cb0-446d-b0d5-005ef562d453</errorID>
      <errorWord>避险、避害</errorWord>
      <group>L1_Grammar</group>
      <groupName>语法问题</groupName>
      <ability>L2_Grammar</ability>
      <abilityName>语法错误</abilityName>
      <candidateList>
        <item>避险</item>
      </candidateList>
      <explain/>
      <paraID>636C1E95</paraID>
      <start>21</start>
      <end>26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d5d2bb-660f-4044-94b2-7610f2581645}">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16207</Words>
  <Characters>16491</Characters>
  <Lines>0</Lines>
  <Paragraphs>0</Paragraphs>
  <TotalTime>1</TotalTime>
  <ScaleCrop>false</ScaleCrop>
  <LinksUpToDate>false</LinksUpToDate>
  <CharactersWithSpaces>16677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2024-05-10T01:04:00Z</dcterms:created>
  <dc:creator>49188</dc:creator>
  <cp:lastModifiedBy>胡艳</cp:lastModifiedBy>
  <dcterms:modified xsi:type="dcterms:W3CDTF">2026-05-08T02:08:12Z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53AF1CF434CF43C3A3174CE1E5B3C29D_13</vt:lpwstr>
  </property>
  <property fmtid="{D5CDD505-2E9C-101B-9397-08002B2CF9AE}" pid="4" name="KSOTemplateDocerSaveRecord">
    <vt:lpwstr>eyJoZGlkIjoiYTRmZTc0NzU3YjgyYTJhZmViMzdhMmE1YmE4NzY3YzciLCJ1c2VySWQiOiIxMjY1Njc1ODkwIn0=</vt:lpwstr>
  </property>
</Properties>
</file>